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CE" w:rsidRDefault="00E07BCE" w:rsidP="00D824E0">
      <w:pPr>
        <w:rPr>
          <w:rFonts w:cstheme="minorHAnsi"/>
          <w:b/>
          <w:sz w:val="32"/>
          <w:szCs w:val="32"/>
        </w:rPr>
      </w:pPr>
      <w:bookmarkStart w:id="0" w:name="_GoBack"/>
      <w:bookmarkEnd w:id="0"/>
    </w:p>
    <w:p w:rsidR="00E07BCE" w:rsidRDefault="00E07BCE" w:rsidP="00E07BCE">
      <w:pPr>
        <w:jc w:val="center"/>
        <w:rPr>
          <w:rFonts w:cstheme="minorHAnsi"/>
          <w:b/>
          <w:sz w:val="32"/>
          <w:szCs w:val="32"/>
        </w:rPr>
      </w:pPr>
    </w:p>
    <w:p w:rsidR="00E07BCE" w:rsidRDefault="00E07BCE" w:rsidP="00E07BCE">
      <w:pPr>
        <w:jc w:val="center"/>
        <w:rPr>
          <w:rFonts w:cstheme="minorHAnsi"/>
          <w:b/>
          <w:sz w:val="32"/>
          <w:szCs w:val="32"/>
        </w:rPr>
      </w:pPr>
    </w:p>
    <w:p w:rsidR="00E07BCE" w:rsidRDefault="00E07BCE" w:rsidP="00E07BCE">
      <w:pPr>
        <w:jc w:val="center"/>
        <w:rPr>
          <w:rFonts w:cstheme="minorHAnsi"/>
          <w:b/>
          <w:sz w:val="32"/>
          <w:szCs w:val="32"/>
        </w:rPr>
      </w:pPr>
    </w:p>
    <w:p w:rsidR="00E07BCE" w:rsidRPr="00E07BCE" w:rsidRDefault="00E07BCE" w:rsidP="00E07BCE">
      <w:pPr>
        <w:jc w:val="center"/>
        <w:rPr>
          <w:rFonts w:cstheme="minorHAnsi"/>
          <w:b/>
          <w:sz w:val="44"/>
          <w:szCs w:val="44"/>
        </w:rPr>
      </w:pPr>
    </w:p>
    <w:p w:rsidR="00E07BCE" w:rsidRDefault="00E07BCE" w:rsidP="00E07BCE">
      <w:pPr>
        <w:jc w:val="center"/>
        <w:rPr>
          <w:rFonts w:cstheme="minorHAnsi"/>
          <w:b/>
          <w:sz w:val="32"/>
          <w:szCs w:val="32"/>
        </w:rPr>
      </w:pPr>
    </w:p>
    <w:p w:rsidR="00E07BCE" w:rsidRPr="00E07BCE" w:rsidRDefault="00E07BCE" w:rsidP="00E07BCE">
      <w:pPr>
        <w:jc w:val="center"/>
        <w:rPr>
          <w:rFonts w:cstheme="minorHAnsi"/>
          <w:b/>
          <w:sz w:val="44"/>
          <w:szCs w:val="44"/>
        </w:rPr>
      </w:pPr>
      <w:r w:rsidRPr="00E07BCE">
        <w:rPr>
          <w:rFonts w:cstheme="minorHAnsi" w:hint="eastAsia"/>
          <w:b/>
          <w:sz w:val="44"/>
          <w:szCs w:val="44"/>
        </w:rPr>
        <w:t>增长回稳超预期</w:t>
      </w:r>
      <w:r w:rsidRPr="00E07BCE">
        <w:rPr>
          <w:rFonts w:cstheme="minorHAnsi" w:hint="eastAsia"/>
          <w:b/>
          <w:sz w:val="44"/>
          <w:szCs w:val="44"/>
        </w:rPr>
        <w:t xml:space="preserve">  </w:t>
      </w:r>
      <w:r w:rsidRPr="00E07BCE">
        <w:rPr>
          <w:rFonts w:cstheme="minorHAnsi" w:hint="eastAsia"/>
          <w:b/>
          <w:sz w:val="44"/>
          <w:szCs w:val="44"/>
        </w:rPr>
        <w:t>动能回调成必然</w:t>
      </w:r>
    </w:p>
    <w:p w:rsidR="00E07BCE" w:rsidRPr="00E07BCE" w:rsidRDefault="00E07BCE" w:rsidP="00E07BCE">
      <w:pPr>
        <w:jc w:val="center"/>
        <w:rPr>
          <w:rFonts w:cstheme="minorHAnsi"/>
          <w:b/>
          <w:sz w:val="36"/>
          <w:szCs w:val="36"/>
        </w:rPr>
      </w:pPr>
      <w:r w:rsidRPr="00E07BCE">
        <w:rPr>
          <w:rFonts w:cstheme="minorHAnsi" w:hint="eastAsia"/>
          <w:b/>
          <w:sz w:val="36"/>
          <w:szCs w:val="36"/>
        </w:rPr>
        <w:t>----2017</w:t>
      </w:r>
      <w:r w:rsidRPr="00E07BCE">
        <w:rPr>
          <w:rFonts w:cstheme="minorHAnsi" w:hint="eastAsia"/>
          <w:b/>
          <w:sz w:val="36"/>
          <w:szCs w:val="36"/>
        </w:rPr>
        <w:t>年第</w:t>
      </w:r>
      <w:r w:rsidRPr="00E07BCE">
        <w:rPr>
          <w:rFonts w:cstheme="minorHAnsi" w:hint="eastAsia"/>
          <w:b/>
          <w:sz w:val="36"/>
          <w:szCs w:val="36"/>
        </w:rPr>
        <w:t>4</w:t>
      </w:r>
      <w:r w:rsidRPr="00E07BCE">
        <w:rPr>
          <w:rFonts w:cstheme="minorHAnsi" w:hint="eastAsia"/>
          <w:b/>
          <w:sz w:val="36"/>
          <w:szCs w:val="36"/>
        </w:rPr>
        <w:t>季度和全年宏观经济分析</w:t>
      </w: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r>
        <w:rPr>
          <w:rFonts w:cstheme="minorHAnsi" w:hint="eastAsia"/>
          <w:sz w:val="28"/>
          <w:szCs w:val="28"/>
        </w:rPr>
        <w:t>张曙光</w:t>
      </w:r>
      <w:r>
        <w:rPr>
          <w:rFonts w:cstheme="minorHAnsi" w:hint="eastAsia"/>
          <w:sz w:val="28"/>
          <w:szCs w:val="28"/>
        </w:rPr>
        <w:t xml:space="preserve">  </w:t>
      </w:r>
      <w:r>
        <w:rPr>
          <w:rFonts w:cstheme="minorHAnsi" w:hint="eastAsia"/>
          <w:sz w:val="28"/>
          <w:szCs w:val="28"/>
        </w:rPr>
        <w:t>张弛</w:t>
      </w: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Default="00E07BCE" w:rsidP="00E07BCE">
      <w:pPr>
        <w:jc w:val="center"/>
        <w:rPr>
          <w:rFonts w:cstheme="minorHAnsi"/>
          <w:sz w:val="28"/>
          <w:szCs w:val="28"/>
        </w:rPr>
      </w:pPr>
    </w:p>
    <w:p w:rsidR="00E07BCE" w:rsidRPr="00214981" w:rsidRDefault="00E07BCE" w:rsidP="00E07BCE">
      <w:pPr>
        <w:jc w:val="center"/>
        <w:rPr>
          <w:rFonts w:cstheme="minorHAnsi"/>
          <w:sz w:val="28"/>
          <w:szCs w:val="28"/>
        </w:rPr>
      </w:pPr>
    </w:p>
    <w:p w:rsidR="00AE60BB" w:rsidRPr="00E07BCE" w:rsidRDefault="00AE60BB" w:rsidP="00AE60BB">
      <w:pPr>
        <w:rPr>
          <w:sz w:val="28"/>
          <w:szCs w:val="28"/>
        </w:rPr>
      </w:pPr>
    </w:p>
    <w:p w:rsidR="00AE60BB" w:rsidRPr="001D5446" w:rsidRDefault="00AE60BB" w:rsidP="00AE60BB">
      <w:pPr>
        <w:jc w:val="center"/>
        <w:rPr>
          <w:b/>
          <w:sz w:val="32"/>
          <w:szCs w:val="32"/>
        </w:rPr>
      </w:pPr>
      <w:r w:rsidRPr="001D5446">
        <w:rPr>
          <w:rFonts w:hint="eastAsia"/>
          <w:b/>
          <w:sz w:val="32"/>
          <w:szCs w:val="32"/>
        </w:rPr>
        <w:lastRenderedPageBreak/>
        <w:t>增长回稳超预期</w:t>
      </w:r>
      <w:r w:rsidRPr="001D5446">
        <w:rPr>
          <w:rFonts w:hint="eastAsia"/>
          <w:b/>
          <w:sz w:val="32"/>
          <w:szCs w:val="32"/>
        </w:rPr>
        <w:t xml:space="preserve">  </w:t>
      </w:r>
      <w:r w:rsidRPr="001D5446">
        <w:rPr>
          <w:rFonts w:hint="eastAsia"/>
          <w:b/>
          <w:sz w:val="32"/>
          <w:szCs w:val="32"/>
        </w:rPr>
        <w:t>动能回调成必然</w:t>
      </w:r>
    </w:p>
    <w:p w:rsidR="00AE60BB" w:rsidRPr="001D5446" w:rsidRDefault="00AE60BB" w:rsidP="00AE60BB">
      <w:pPr>
        <w:jc w:val="center"/>
        <w:rPr>
          <w:b/>
          <w:sz w:val="28"/>
          <w:szCs w:val="28"/>
        </w:rPr>
      </w:pPr>
      <w:r w:rsidRPr="001D5446">
        <w:rPr>
          <w:rFonts w:hint="eastAsia"/>
          <w:b/>
          <w:sz w:val="28"/>
          <w:szCs w:val="28"/>
        </w:rPr>
        <w:t>----2017</w:t>
      </w:r>
      <w:r w:rsidRPr="001D5446">
        <w:rPr>
          <w:rFonts w:hint="eastAsia"/>
          <w:b/>
          <w:sz w:val="28"/>
          <w:szCs w:val="28"/>
        </w:rPr>
        <w:t>年第</w:t>
      </w:r>
      <w:r w:rsidRPr="001D5446">
        <w:rPr>
          <w:rFonts w:hint="eastAsia"/>
          <w:b/>
          <w:sz w:val="28"/>
          <w:szCs w:val="28"/>
        </w:rPr>
        <w:t>4</w:t>
      </w:r>
      <w:r w:rsidRPr="001D5446">
        <w:rPr>
          <w:rFonts w:hint="eastAsia"/>
          <w:b/>
          <w:sz w:val="28"/>
          <w:szCs w:val="28"/>
        </w:rPr>
        <w:t>季度和全年宏观经济分析</w:t>
      </w:r>
    </w:p>
    <w:p w:rsidR="00AE60BB" w:rsidRDefault="00AE60BB" w:rsidP="00AE60BB">
      <w:pPr>
        <w:jc w:val="center"/>
        <w:rPr>
          <w:sz w:val="28"/>
          <w:szCs w:val="28"/>
        </w:rPr>
      </w:pPr>
    </w:p>
    <w:p w:rsidR="00AE60BB" w:rsidRDefault="00AE60BB" w:rsidP="00AE60BB">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AE60BB" w:rsidRDefault="00AE60BB" w:rsidP="00AE60BB">
      <w:pPr>
        <w:rPr>
          <w:sz w:val="28"/>
          <w:szCs w:val="28"/>
        </w:rPr>
      </w:pPr>
    </w:p>
    <w:p w:rsidR="00AE60BB" w:rsidRDefault="00AE60BB" w:rsidP="00AE60BB">
      <w:pPr>
        <w:ind w:firstLineChars="200" w:firstLine="560"/>
        <w:rPr>
          <w:sz w:val="28"/>
          <w:szCs w:val="28"/>
        </w:rPr>
      </w:pPr>
      <w:r>
        <w:rPr>
          <w:rFonts w:hint="eastAsia"/>
          <w:sz w:val="28"/>
          <w:szCs w:val="28"/>
        </w:rPr>
        <w:t>内容提要：</w:t>
      </w:r>
      <w:r>
        <w:rPr>
          <w:rFonts w:hint="eastAsia"/>
          <w:sz w:val="28"/>
          <w:szCs w:val="28"/>
        </w:rPr>
        <w:t>2017</w:t>
      </w:r>
      <w:r>
        <w:rPr>
          <w:rFonts w:hint="eastAsia"/>
          <w:sz w:val="28"/>
          <w:szCs w:val="28"/>
        </w:rPr>
        <w:t>年，中国经济增长</w:t>
      </w:r>
      <w:r>
        <w:rPr>
          <w:rFonts w:hint="eastAsia"/>
          <w:sz w:val="28"/>
          <w:szCs w:val="28"/>
        </w:rPr>
        <w:t>6.9%</w:t>
      </w:r>
      <w:r>
        <w:rPr>
          <w:rFonts w:hint="eastAsia"/>
          <w:sz w:val="28"/>
          <w:szCs w:val="28"/>
        </w:rPr>
        <w:t>，是</w:t>
      </w:r>
      <w:r>
        <w:rPr>
          <w:rFonts w:hint="eastAsia"/>
          <w:sz w:val="28"/>
          <w:szCs w:val="28"/>
        </w:rPr>
        <w:t>2011</w:t>
      </w:r>
      <w:r>
        <w:rPr>
          <w:rFonts w:hint="eastAsia"/>
          <w:sz w:val="28"/>
          <w:szCs w:val="28"/>
        </w:rPr>
        <w:t>年以来第一次回升，总体规模突破</w:t>
      </w:r>
      <w:r>
        <w:rPr>
          <w:rFonts w:hint="eastAsia"/>
          <w:sz w:val="28"/>
          <w:szCs w:val="28"/>
        </w:rPr>
        <w:t>80</w:t>
      </w:r>
      <w:proofErr w:type="gramStart"/>
      <w:r>
        <w:rPr>
          <w:rFonts w:hint="eastAsia"/>
          <w:sz w:val="28"/>
          <w:szCs w:val="28"/>
        </w:rPr>
        <w:t>万亿</w:t>
      </w:r>
      <w:proofErr w:type="gramEnd"/>
      <w:r>
        <w:rPr>
          <w:rFonts w:hint="eastAsia"/>
          <w:sz w:val="28"/>
          <w:szCs w:val="28"/>
        </w:rPr>
        <w:t>元，对世界经济的贡献超过</w:t>
      </w:r>
      <w:r>
        <w:rPr>
          <w:rFonts w:hint="eastAsia"/>
          <w:sz w:val="28"/>
          <w:szCs w:val="28"/>
        </w:rPr>
        <w:t>30%</w:t>
      </w:r>
      <w:r>
        <w:rPr>
          <w:rFonts w:hint="eastAsia"/>
          <w:sz w:val="28"/>
          <w:szCs w:val="28"/>
        </w:rPr>
        <w:t>，超出人们的普遍预期。确是一大成绩。不过，回升的基础不稳，潜在风险正在聚集。需要从落实保护企业家和财产权、真正简政减费减税，优化营商环境，以及增加创新活力和提高增长质量等方面使劲用力。世界经济景气处于下半场，中国经济周期性行业回落，经济增长动能向下调整已不可免，切不可为保增长而有悖于经济调整转型的大方向。</w:t>
      </w:r>
    </w:p>
    <w:p w:rsidR="00AE60BB" w:rsidRPr="007E4667" w:rsidRDefault="00AE60BB" w:rsidP="00AE60BB">
      <w:pPr>
        <w:rPr>
          <w:sz w:val="28"/>
          <w:szCs w:val="28"/>
        </w:rPr>
      </w:pPr>
    </w:p>
    <w:p w:rsidR="00AE60BB" w:rsidRPr="007E4667" w:rsidRDefault="00AE60BB" w:rsidP="00AE60BB">
      <w:pPr>
        <w:pStyle w:val="1"/>
        <w:spacing w:line="360" w:lineRule="auto"/>
        <w:ind w:firstLine="562"/>
        <w:jc w:val="center"/>
        <w:rPr>
          <w:rFonts w:ascii="宋体" w:hAnsi="宋体"/>
          <w:b/>
          <w:kern w:val="0"/>
          <w:sz w:val="28"/>
          <w:szCs w:val="28"/>
        </w:rPr>
      </w:pPr>
      <w:r w:rsidRPr="007E4667">
        <w:rPr>
          <w:rFonts w:ascii="宋体" w:hAnsi="宋体" w:hint="eastAsia"/>
          <w:b/>
          <w:kern w:val="0"/>
          <w:sz w:val="28"/>
          <w:szCs w:val="28"/>
        </w:rPr>
        <w:t>一、总量态势</w:t>
      </w:r>
    </w:p>
    <w:p w:rsidR="00AE60BB" w:rsidRPr="007E4667" w:rsidRDefault="00AE60BB" w:rsidP="00AE60BB">
      <w:pPr>
        <w:spacing w:line="360" w:lineRule="auto"/>
        <w:rPr>
          <w:rFonts w:ascii="宋体" w:hAnsi="宋体"/>
          <w:b/>
          <w:sz w:val="28"/>
          <w:szCs w:val="28"/>
        </w:rPr>
      </w:pPr>
    </w:p>
    <w:p w:rsidR="00AE60BB" w:rsidRPr="007E4667" w:rsidRDefault="00AE60BB" w:rsidP="00AE60BB">
      <w:pPr>
        <w:spacing w:line="360" w:lineRule="auto"/>
        <w:rPr>
          <w:rFonts w:ascii="宋体" w:hAnsi="宋体"/>
          <w:b/>
          <w:sz w:val="28"/>
          <w:szCs w:val="28"/>
        </w:rPr>
      </w:pPr>
      <w:r w:rsidRPr="007E4667">
        <w:rPr>
          <w:rFonts w:ascii="宋体" w:hAnsi="宋体"/>
          <w:b/>
          <w:sz w:val="28"/>
          <w:szCs w:val="28"/>
        </w:rPr>
        <w:t>1.</w:t>
      </w:r>
      <w:r w:rsidRPr="007E4667">
        <w:rPr>
          <w:rFonts w:ascii="宋体" w:hAnsi="宋体" w:hint="eastAsia"/>
          <w:b/>
          <w:sz w:val="28"/>
          <w:szCs w:val="28"/>
        </w:rPr>
        <w:t>全年经济增速平稳</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初步核算，全年国内生产总值</w:t>
      </w:r>
      <w:r w:rsidRPr="007E4667">
        <w:rPr>
          <w:rFonts w:ascii="宋体" w:hAnsi="宋体"/>
          <w:sz w:val="28"/>
          <w:szCs w:val="28"/>
        </w:rPr>
        <w:t>827122</w:t>
      </w:r>
      <w:r w:rsidRPr="007E4667">
        <w:rPr>
          <w:rFonts w:ascii="宋体" w:hAnsi="宋体" w:hint="eastAsia"/>
          <w:sz w:val="28"/>
          <w:szCs w:val="28"/>
        </w:rPr>
        <w:t>亿元，按可比价格计算，比上年增长</w:t>
      </w:r>
      <w:r w:rsidRPr="007E4667">
        <w:rPr>
          <w:rFonts w:ascii="宋体" w:hAnsi="宋体"/>
          <w:sz w:val="28"/>
          <w:szCs w:val="28"/>
        </w:rPr>
        <w:t>6.9%</w:t>
      </w:r>
      <w:r w:rsidRPr="007E4667">
        <w:rPr>
          <w:rFonts w:ascii="宋体" w:hAnsi="宋体" w:hint="eastAsia"/>
          <w:sz w:val="28"/>
          <w:szCs w:val="28"/>
        </w:rPr>
        <w:t>。分季度看，一</w:t>
      </w:r>
      <w:r>
        <w:rPr>
          <w:rFonts w:ascii="宋体" w:hAnsi="宋体" w:hint="eastAsia"/>
          <w:sz w:val="28"/>
          <w:szCs w:val="28"/>
        </w:rPr>
        <w:t>、二</w:t>
      </w:r>
      <w:r w:rsidRPr="007E4667">
        <w:rPr>
          <w:rFonts w:ascii="宋体" w:hAnsi="宋体" w:hint="eastAsia"/>
          <w:sz w:val="28"/>
          <w:szCs w:val="28"/>
        </w:rPr>
        <w:t>季度同比增长</w:t>
      </w:r>
      <w:r w:rsidRPr="007E4667">
        <w:rPr>
          <w:rFonts w:ascii="宋体" w:hAnsi="宋体"/>
          <w:sz w:val="28"/>
          <w:szCs w:val="28"/>
        </w:rPr>
        <w:t>6.9%</w:t>
      </w:r>
      <w:r w:rsidRPr="007E4667">
        <w:rPr>
          <w:rFonts w:ascii="宋体" w:hAnsi="宋体" w:hint="eastAsia"/>
          <w:sz w:val="28"/>
          <w:szCs w:val="28"/>
        </w:rPr>
        <w:t>，三</w:t>
      </w:r>
      <w:r>
        <w:rPr>
          <w:rFonts w:ascii="宋体" w:hAnsi="宋体" w:hint="eastAsia"/>
          <w:sz w:val="28"/>
          <w:szCs w:val="28"/>
        </w:rPr>
        <w:t>、四</w:t>
      </w:r>
      <w:r w:rsidRPr="007E4667">
        <w:rPr>
          <w:rFonts w:ascii="宋体" w:hAnsi="宋体" w:hint="eastAsia"/>
          <w:sz w:val="28"/>
          <w:szCs w:val="28"/>
        </w:rPr>
        <w:t>季度增长</w:t>
      </w:r>
      <w:r w:rsidRPr="007E4667">
        <w:rPr>
          <w:rFonts w:ascii="宋体" w:hAnsi="宋体"/>
          <w:sz w:val="28"/>
          <w:szCs w:val="28"/>
        </w:rPr>
        <w:t>6.8%</w:t>
      </w:r>
      <w:r w:rsidRPr="007E4667">
        <w:rPr>
          <w:rFonts w:ascii="宋体" w:hAnsi="宋体" w:hint="eastAsia"/>
          <w:sz w:val="28"/>
          <w:szCs w:val="28"/>
        </w:rPr>
        <w:t>。分产业看，第一产业增加值</w:t>
      </w:r>
      <w:r w:rsidRPr="007E4667">
        <w:rPr>
          <w:rFonts w:ascii="宋体" w:hAnsi="宋体"/>
          <w:sz w:val="28"/>
          <w:szCs w:val="28"/>
        </w:rPr>
        <w:t>65468</w:t>
      </w:r>
      <w:r w:rsidRPr="007E4667">
        <w:rPr>
          <w:rFonts w:ascii="宋体" w:hAnsi="宋体" w:hint="eastAsia"/>
          <w:sz w:val="28"/>
          <w:szCs w:val="28"/>
        </w:rPr>
        <w:t>亿元，比上年增长</w:t>
      </w:r>
      <w:r w:rsidRPr="007E4667">
        <w:rPr>
          <w:rFonts w:ascii="宋体" w:hAnsi="宋体"/>
          <w:sz w:val="28"/>
          <w:szCs w:val="28"/>
        </w:rPr>
        <w:t>3.9%</w:t>
      </w:r>
      <w:r w:rsidRPr="007E4667">
        <w:rPr>
          <w:rFonts w:ascii="宋体" w:hAnsi="宋体" w:hint="eastAsia"/>
          <w:sz w:val="28"/>
          <w:szCs w:val="28"/>
        </w:rPr>
        <w:t>；第二产业增加值</w:t>
      </w:r>
      <w:r w:rsidRPr="007E4667">
        <w:rPr>
          <w:rFonts w:ascii="宋体" w:hAnsi="宋体"/>
          <w:sz w:val="28"/>
          <w:szCs w:val="28"/>
        </w:rPr>
        <w:t>334623</w:t>
      </w:r>
      <w:r w:rsidRPr="007E4667">
        <w:rPr>
          <w:rFonts w:ascii="宋体" w:hAnsi="宋体" w:hint="eastAsia"/>
          <w:sz w:val="28"/>
          <w:szCs w:val="28"/>
        </w:rPr>
        <w:t>亿元，增长</w:t>
      </w:r>
      <w:r w:rsidRPr="007E4667">
        <w:rPr>
          <w:rFonts w:ascii="宋体" w:hAnsi="宋体"/>
          <w:sz w:val="28"/>
          <w:szCs w:val="28"/>
        </w:rPr>
        <w:t>6.1%</w:t>
      </w:r>
      <w:r w:rsidRPr="007E4667">
        <w:rPr>
          <w:rFonts w:ascii="宋体" w:hAnsi="宋体" w:hint="eastAsia"/>
          <w:sz w:val="28"/>
          <w:szCs w:val="28"/>
        </w:rPr>
        <w:t>；第三产业增加值</w:t>
      </w:r>
      <w:r w:rsidRPr="007E4667">
        <w:rPr>
          <w:rFonts w:ascii="宋体" w:hAnsi="宋体"/>
          <w:sz w:val="28"/>
          <w:szCs w:val="28"/>
        </w:rPr>
        <w:t>427032</w:t>
      </w:r>
      <w:r w:rsidRPr="007E4667">
        <w:rPr>
          <w:rFonts w:ascii="宋体" w:hAnsi="宋体" w:hint="eastAsia"/>
          <w:sz w:val="28"/>
          <w:szCs w:val="28"/>
        </w:rPr>
        <w:t>亿元，增长</w:t>
      </w:r>
      <w:r w:rsidRPr="007E4667">
        <w:rPr>
          <w:rFonts w:ascii="宋体" w:hAnsi="宋体"/>
          <w:sz w:val="28"/>
          <w:szCs w:val="28"/>
        </w:rPr>
        <w:t>8.0%</w:t>
      </w:r>
      <w:r w:rsidRPr="007E4667">
        <w:rPr>
          <w:rFonts w:ascii="宋体" w:hAnsi="宋体" w:hint="eastAsia"/>
          <w:sz w:val="28"/>
          <w:szCs w:val="28"/>
        </w:rPr>
        <w:t>。</w:t>
      </w:r>
    </w:p>
    <w:p w:rsidR="00AE60BB" w:rsidRPr="007E4667" w:rsidRDefault="00AE60BB" w:rsidP="00AE60BB">
      <w:pPr>
        <w:ind w:firstLineChars="200" w:firstLine="560"/>
        <w:rPr>
          <w:rFonts w:ascii="宋体" w:hAnsi="宋体"/>
          <w:color w:val="333333"/>
          <w:sz w:val="28"/>
          <w:szCs w:val="28"/>
        </w:rPr>
      </w:pPr>
      <w:r w:rsidRPr="007E4667">
        <w:rPr>
          <w:rFonts w:ascii="宋体" w:hAnsi="宋体" w:hint="eastAsia"/>
          <w:color w:val="333333"/>
          <w:sz w:val="28"/>
          <w:szCs w:val="28"/>
        </w:rPr>
        <w:lastRenderedPageBreak/>
        <w:t>全年全国规模以上工业增加值比上年实际增长</w:t>
      </w:r>
      <w:r w:rsidRPr="007E4667">
        <w:rPr>
          <w:rFonts w:ascii="宋体" w:hAnsi="宋体"/>
          <w:color w:val="333333"/>
          <w:sz w:val="28"/>
          <w:szCs w:val="28"/>
        </w:rPr>
        <w:t>6.6%</w:t>
      </w:r>
      <w:r w:rsidRPr="007E4667">
        <w:rPr>
          <w:rFonts w:ascii="宋体" w:hAnsi="宋体" w:hint="eastAsia"/>
          <w:color w:val="333333"/>
          <w:sz w:val="28"/>
          <w:szCs w:val="28"/>
        </w:rPr>
        <w:t>，增速比上年加快</w:t>
      </w:r>
      <w:r w:rsidRPr="007E4667">
        <w:rPr>
          <w:rFonts w:ascii="宋体" w:hAnsi="宋体"/>
          <w:color w:val="333333"/>
          <w:sz w:val="28"/>
          <w:szCs w:val="28"/>
        </w:rPr>
        <w:t>0.6</w:t>
      </w:r>
      <w:r w:rsidRPr="007E4667">
        <w:rPr>
          <w:rFonts w:ascii="宋体" w:hAnsi="宋体" w:hint="eastAsia"/>
          <w:color w:val="333333"/>
          <w:sz w:val="28"/>
          <w:szCs w:val="28"/>
        </w:rPr>
        <w:t>个百分点。分经济类型看，国有控股企业增加值增长</w:t>
      </w:r>
      <w:r w:rsidRPr="007E4667">
        <w:rPr>
          <w:rFonts w:ascii="宋体" w:hAnsi="宋体"/>
          <w:color w:val="333333"/>
          <w:sz w:val="28"/>
          <w:szCs w:val="28"/>
        </w:rPr>
        <w:t>6.5%</w:t>
      </w:r>
      <w:r w:rsidRPr="007E4667">
        <w:rPr>
          <w:rFonts w:ascii="宋体" w:hAnsi="宋体" w:hint="eastAsia"/>
          <w:color w:val="333333"/>
          <w:sz w:val="28"/>
          <w:szCs w:val="28"/>
        </w:rPr>
        <w:t>，集体企业增长</w:t>
      </w:r>
      <w:r w:rsidRPr="007E4667">
        <w:rPr>
          <w:rFonts w:ascii="宋体" w:hAnsi="宋体"/>
          <w:color w:val="333333"/>
          <w:sz w:val="28"/>
          <w:szCs w:val="28"/>
        </w:rPr>
        <w:t>0.6%</w:t>
      </w:r>
      <w:r w:rsidRPr="007E4667">
        <w:rPr>
          <w:rFonts w:ascii="宋体" w:hAnsi="宋体" w:hint="eastAsia"/>
          <w:color w:val="333333"/>
          <w:sz w:val="28"/>
          <w:szCs w:val="28"/>
        </w:rPr>
        <w:t>，股份制企业增长</w:t>
      </w:r>
      <w:r w:rsidRPr="007E4667">
        <w:rPr>
          <w:rFonts w:ascii="宋体" w:hAnsi="宋体"/>
          <w:color w:val="333333"/>
          <w:sz w:val="28"/>
          <w:szCs w:val="28"/>
        </w:rPr>
        <w:t>6.6%</w:t>
      </w:r>
      <w:r w:rsidRPr="007E4667">
        <w:rPr>
          <w:rFonts w:ascii="宋体" w:hAnsi="宋体" w:hint="eastAsia"/>
          <w:color w:val="333333"/>
          <w:sz w:val="28"/>
          <w:szCs w:val="28"/>
        </w:rPr>
        <w:t>，外商及港澳台商投资企业增长</w:t>
      </w:r>
      <w:r w:rsidRPr="007E4667">
        <w:rPr>
          <w:rFonts w:ascii="宋体" w:hAnsi="宋体"/>
          <w:color w:val="333333"/>
          <w:sz w:val="28"/>
          <w:szCs w:val="28"/>
        </w:rPr>
        <w:t>6.9%</w:t>
      </w:r>
      <w:r w:rsidRPr="007E4667">
        <w:rPr>
          <w:rFonts w:ascii="宋体" w:hAnsi="宋体" w:hint="eastAsia"/>
          <w:color w:val="333333"/>
          <w:sz w:val="28"/>
          <w:szCs w:val="28"/>
        </w:rPr>
        <w:t>。分三大门类看，采矿业增加值下降</w:t>
      </w:r>
      <w:r w:rsidRPr="007E4667">
        <w:rPr>
          <w:rFonts w:ascii="宋体" w:hAnsi="宋体"/>
          <w:color w:val="333333"/>
          <w:sz w:val="28"/>
          <w:szCs w:val="28"/>
        </w:rPr>
        <w:t>1.5%</w:t>
      </w:r>
      <w:r w:rsidRPr="007E4667">
        <w:rPr>
          <w:rFonts w:ascii="宋体" w:hAnsi="宋体" w:hint="eastAsia"/>
          <w:color w:val="333333"/>
          <w:sz w:val="28"/>
          <w:szCs w:val="28"/>
        </w:rPr>
        <w:t>，制造业增长</w:t>
      </w:r>
      <w:r w:rsidRPr="007E4667">
        <w:rPr>
          <w:rFonts w:ascii="宋体" w:hAnsi="宋体"/>
          <w:color w:val="333333"/>
          <w:sz w:val="28"/>
          <w:szCs w:val="28"/>
        </w:rPr>
        <w:t>7.2%</w:t>
      </w:r>
      <w:r w:rsidRPr="007E4667">
        <w:rPr>
          <w:rFonts w:ascii="宋体" w:hAnsi="宋体" w:hint="eastAsia"/>
          <w:color w:val="333333"/>
          <w:sz w:val="28"/>
          <w:szCs w:val="28"/>
        </w:rPr>
        <w:t>，电力、热力、燃气及水生产和供应业增长</w:t>
      </w:r>
      <w:r w:rsidRPr="007E4667">
        <w:rPr>
          <w:rFonts w:ascii="宋体" w:hAnsi="宋体"/>
          <w:color w:val="333333"/>
          <w:sz w:val="28"/>
          <w:szCs w:val="28"/>
        </w:rPr>
        <w:t>8.1%</w:t>
      </w:r>
      <w:r w:rsidRPr="007E4667">
        <w:rPr>
          <w:rFonts w:ascii="宋体" w:hAnsi="宋体" w:hint="eastAsia"/>
          <w:color w:val="333333"/>
          <w:sz w:val="28"/>
          <w:szCs w:val="28"/>
        </w:rPr>
        <w:t>。</w:t>
      </w:r>
    </w:p>
    <w:p w:rsidR="00AE60BB" w:rsidRPr="007E4667" w:rsidRDefault="00AE60BB" w:rsidP="00AE60BB">
      <w:pPr>
        <w:rPr>
          <w:rFonts w:ascii="宋体" w:hAnsi="宋体"/>
          <w:sz w:val="28"/>
          <w:szCs w:val="28"/>
        </w:rPr>
      </w:pPr>
      <w:r w:rsidRPr="007E4667">
        <w:rPr>
          <w:noProof/>
          <w:sz w:val="28"/>
          <w:szCs w:val="28"/>
        </w:rPr>
        <w:drawing>
          <wp:inline distT="0" distB="0" distL="0" distR="0" wp14:anchorId="4C967FFD" wp14:editId="44B8F91B">
            <wp:extent cx="5296535" cy="2493034"/>
            <wp:effectExtent l="0" t="0" r="18415" b="2540"/>
            <wp:docPr id="17" name="图表 17">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C5AD0E8-03F7-401A-B31E-AAF762B9F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60BB" w:rsidRPr="007E4667" w:rsidRDefault="00AE60BB" w:rsidP="00AE60BB">
      <w:pPr>
        <w:spacing w:line="360" w:lineRule="auto"/>
        <w:rPr>
          <w:rFonts w:ascii="宋体" w:hAnsi="宋体"/>
          <w:b/>
          <w:sz w:val="28"/>
          <w:szCs w:val="28"/>
        </w:rPr>
      </w:pPr>
      <w:r w:rsidRPr="007E4667">
        <w:rPr>
          <w:rFonts w:ascii="宋体" w:hAnsi="宋体"/>
          <w:b/>
          <w:sz w:val="28"/>
          <w:szCs w:val="28"/>
        </w:rPr>
        <w:t>2.</w:t>
      </w:r>
      <w:r w:rsidRPr="007E4667">
        <w:rPr>
          <w:rFonts w:ascii="宋体" w:hAnsi="宋体" w:hint="eastAsia"/>
          <w:b/>
          <w:sz w:val="28"/>
          <w:szCs w:val="28"/>
        </w:rPr>
        <w:t>居民消费</w:t>
      </w:r>
      <w:r>
        <w:rPr>
          <w:rFonts w:ascii="宋体" w:hAnsi="宋体" w:hint="eastAsia"/>
          <w:b/>
          <w:sz w:val="28"/>
          <w:szCs w:val="28"/>
        </w:rPr>
        <w:t>价格</w:t>
      </w:r>
      <w:r w:rsidRPr="007E4667">
        <w:rPr>
          <w:rFonts w:ascii="宋体" w:hAnsi="宋体" w:hint="eastAsia"/>
          <w:b/>
          <w:sz w:val="28"/>
          <w:szCs w:val="28"/>
        </w:rPr>
        <w:t xml:space="preserve">微涨  </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color w:val="333333"/>
          <w:sz w:val="28"/>
          <w:szCs w:val="28"/>
        </w:rPr>
      </w:pPr>
      <w:r w:rsidRPr="007E4667">
        <w:rPr>
          <w:rFonts w:ascii="宋体" w:hAnsi="宋体" w:hint="eastAsia"/>
          <w:color w:val="333333"/>
          <w:sz w:val="28"/>
          <w:szCs w:val="28"/>
        </w:rPr>
        <w:t>全年居民消费价格比上年上涨</w:t>
      </w:r>
      <w:r w:rsidRPr="007E4667">
        <w:rPr>
          <w:rFonts w:ascii="宋体" w:hAnsi="宋体"/>
          <w:color w:val="333333"/>
          <w:sz w:val="28"/>
          <w:szCs w:val="28"/>
        </w:rPr>
        <w:t>1.6%</w:t>
      </w:r>
      <w:r w:rsidRPr="007E4667">
        <w:rPr>
          <w:rFonts w:ascii="宋体" w:hAnsi="宋体" w:hint="eastAsia"/>
          <w:color w:val="333333"/>
          <w:sz w:val="28"/>
          <w:szCs w:val="28"/>
        </w:rPr>
        <w:t>，涨幅比上年回落</w:t>
      </w:r>
      <w:r w:rsidRPr="007E4667">
        <w:rPr>
          <w:rFonts w:ascii="宋体" w:hAnsi="宋体"/>
          <w:color w:val="333333"/>
          <w:sz w:val="28"/>
          <w:szCs w:val="28"/>
        </w:rPr>
        <w:t>0.4</w:t>
      </w:r>
      <w:r w:rsidRPr="007E4667">
        <w:rPr>
          <w:rFonts w:ascii="宋体" w:hAnsi="宋体" w:hint="eastAsia"/>
          <w:color w:val="333333"/>
          <w:sz w:val="28"/>
          <w:szCs w:val="28"/>
        </w:rPr>
        <w:t>个百分点。其中，城市上涨</w:t>
      </w:r>
      <w:r w:rsidRPr="007E4667">
        <w:rPr>
          <w:rFonts w:ascii="宋体" w:hAnsi="宋体"/>
          <w:color w:val="333333"/>
          <w:sz w:val="28"/>
          <w:szCs w:val="28"/>
        </w:rPr>
        <w:t>1.7%</w:t>
      </w:r>
      <w:r w:rsidRPr="007E4667">
        <w:rPr>
          <w:rFonts w:ascii="宋体" w:hAnsi="宋体" w:hint="eastAsia"/>
          <w:color w:val="333333"/>
          <w:sz w:val="28"/>
          <w:szCs w:val="28"/>
        </w:rPr>
        <w:t>，农村上涨</w:t>
      </w:r>
      <w:r w:rsidRPr="007E4667">
        <w:rPr>
          <w:rFonts w:ascii="宋体" w:hAnsi="宋体"/>
          <w:color w:val="333333"/>
          <w:sz w:val="28"/>
          <w:szCs w:val="28"/>
        </w:rPr>
        <w:t>1.3%</w:t>
      </w:r>
      <w:r w:rsidRPr="007E4667">
        <w:rPr>
          <w:rFonts w:ascii="宋体" w:hAnsi="宋体" w:hint="eastAsia"/>
          <w:color w:val="333333"/>
          <w:sz w:val="28"/>
          <w:szCs w:val="28"/>
        </w:rPr>
        <w:t>。分类别看，食品烟酒价格下降</w:t>
      </w:r>
      <w:r w:rsidRPr="007E4667">
        <w:rPr>
          <w:rFonts w:ascii="宋体" w:hAnsi="宋体"/>
          <w:color w:val="333333"/>
          <w:sz w:val="28"/>
          <w:szCs w:val="28"/>
        </w:rPr>
        <w:t>0.4%</w:t>
      </w:r>
      <w:r w:rsidRPr="007E4667">
        <w:rPr>
          <w:rFonts w:ascii="宋体" w:hAnsi="宋体" w:hint="eastAsia"/>
          <w:color w:val="333333"/>
          <w:sz w:val="28"/>
          <w:szCs w:val="28"/>
        </w:rPr>
        <w:t>，衣着上涨</w:t>
      </w:r>
      <w:r w:rsidRPr="007E4667">
        <w:rPr>
          <w:rFonts w:ascii="宋体" w:hAnsi="宋体"/>
          <w:color w:val="333333"/>
          <w:sz w:val="28"/>
          <w:szCs w:val="28"/>
        </w:rPr>
        <w:t>1.3%</w:t>
      </w:r>
      <w:r w:rsidRPr="007E4667">
        <w:rPr>
          <w:rFonts w:ascii="宋体" w:hAnsi="宋体" w:hint="eastAsia"/>
          <w:color w:val="333333"/>
          <w:sz w:val="28"/>
          <w:szCs w:val="28"/>
        </w:rPr>
        <w:t>，居住上涨</w:t>
      </w:r>
      <w:r w:rsidRPr="007E4667">
        <w:rPr>
          <w:rFonts w:ascii="宋体" w:hAnsi="宋体"/>
          <w:color w:val="333333"/>
          <w:sz w:val="28"/>
          <w:szCs w:val="28"/>
        </w:rPr>
        <w:t>2.6%</w:t>
      </w:r>
      <w:r w:rsidRPr="007E4667">
        <w:rPr>
          <w:rFonts w:ascii="宋体" w:hAnsi="宋体" w:hint="eastAsia"/>
          <w:color w:val="333333"/>
          <w:sz w:val="28"/>
          <w:szCs w:val="28"/>
        </w:rPr>
        <w:t>，生活用品及服务上涨</w:t>
      </w:r>
      <w:r w:rsidRPr="007E4667">
        <w:rPr>
          <w:rFonts w:ascii="宋体" w:hAnsi="宋体"/>
          <w:color w:val="333333"/>
          <w:sz w:val="28"/>
          <w:szCs w:val="28"/>
        </w:rPr>
        <w:t>1.1%</w:t>
      </w:r>
      <w:r w:rsidRPr="007E4667">
        <w:rPr>
          <w:rFonts w:ascii="宋体" w:hAnsi="宋体" w:hint="eastAsia"/>
          <w:color w:val="333333"/>
          <w:sz w:val="28"/>
          <w:szCs w:val="28"/>
        </w:rPr>
        <w:t>，交通和通信上涨</w:t>
      </w:r>
      <w:r w:rsidRPr="007E4667">
        <w:rPr>
          <w:rFonts w:ascii="宋体" w:hAnsi="宋体"/>
          <w:color w:val="333333"/>
          <w:sz w:val="28"/>
          <w:szCs w:val="28"/>
        </w:rPr>
        <w:t>1.1%</w:t>
      </w:r>
      <w:r w:rsidRPr="007E4667">
        <w:rPr>
          <w:rFonts w:ascii="宋体" w:hAnsi="宋体" w:hint="eastAsia"/>
          <w:color w:val="333333"/>
          <w:sz w:val="28"/>
          <w:szCs w:val="28"/>
        </w:rPr>
        <w:t>，教育文化和娱乐上涨</w:t>
      </w:r>
      <w:r w:rsidRPr="007E4667">
        <w:rPr>
          <w:rFonts w:ascii="宋体" w:hAnsi="宋体"/>
          <w:color w:val="333333"/>
          <w:sz w:val="28"/>
          <w:szCs w:val="28"/>
        </w:rPr>
        <w:t>2.4%</w:t>
      </w:r>
      <w:r w:rsidRPr="007E4667">
        <w:rPr>
          <w:rFonts w:ascii="宋体" w:hAnsi="宋体" w:hint="eastAsia"/>
          <w:color w:val="333333"/>
          <w:sz w:val="28"/>
          <w:szCs w:val="28"/>
        </w:rPr>
        <w:t>，医疗保健上涨</w:t>
      </w:r>
      <w:r w:rsidRPr="007E4667">
        <w:rPr>
          <w:rFonts w:ascii="宋体" w:hAnsi="宋体"/>
          <w:color w:val="333333"/>
          <w:sz w:val="28"/>
          <w:szCs w:val="28"/>
        </w:rPr>
        <w:t>6.0%</w:t>
      </w:r>
      <w:r w:rsidRPr="007E4667">
        <w:rPr>
          <w:rFonts w:ascii="宋体" w:hAnsi="宋体" w:hint="eastAsia"/>
          <w:color w:val="333333"/>
          <w:sz w:val="28"/>
          <w:szCs w:val="28"/>
        </w:rPr>
        <w:t>，其他用品和服务上涨</w:t>
      </w:r>
      <w:r w:rsidRPr="007E4667">
        <w:rPr>
          <w:rFonts w:ascii="宋体" w:hAnsi="宋体"/>
          <w:color w:val="333333"/>
          <w:sz w:val="28"/>
          <w:szCs w:val="28"/>
        </w:rPr>
        <w:t>2.4%</w:t>
      </w:r>
      <w:r w:rsidRPr="007E4667">
        <w:rPr>
          <w:rFonts w:ascii="宋体" w:hAnsi="宋体" w:hint="eastAsia"/>
          <w:color w:val="333333"/>
          <w:sz w:val="28"/>
          <w:szCs w:val="28"/>
        </w:rPr>
        <w:t>。在食品烟酒价格中，粮食价格上涨</w:t>
      </w:r>
      <w:r w:rsidRPr="007E4667">
        <w:rPr>
          <w:rFonts w:ascii="宋体" w:hAnsi="宋体"/>
          <w:color w:val="333333"/>
          <w:sz w:val="28"/>
          <w:szCs w:val="28"/>
        </w:rPr>
        <w:t>1.5%</w:t>
      </w:r>
      <w:r w:rsidRPr="007E4667">
        <w:rPr>
          <w:rFonts w:ascii="宋体" w:hAnsi="宋体" w:hint="eastAsia"/>
          <w:color w:val="333333"/>
          <w:sz w:val="28"/>
          <w:szCs w:val="28"/>
        </w:rPr>
        <w:t>，猪肉价格下降</w:t>
      </w:r>
      <w:r w:rsidRPr="007E4667">
        <w:rPr>
          <w:rFonts w:ascii="宋体" w:hAnsi="宋体"/>
          <w:color w:val="333333"/>
          <w:sz w:val="28"/>
          <w:szCs w:val="28"/>
        </w:rPr>
        <w:t>8.8%</w:t>
      </w:r>
      <w:r w:rsidRPr="007E4667">
        <w:rPr>
          <w:rFonts w:ascii="宋体" w:hAnsi="宋体" w:hint="eastAsia"/>
          <w:color w:val="333333"/>
          <w:sz w:val="28"/>
          <w:szCs w:val="28"/>
        </w:rPr>
        <w:t>，鲜菜价格下降</w:t>
      </w:r>
      <w:r w:rsidRPr="007E4667">
        <w:rPr>
          <w:rFonts w:ascii="宋体" w:hAnsi="宋体"/>
          <w:color w:val="333333"/>
          <w:sz w:val="28"/>
          <w:szCs w:val="28"/>
        </w:rPr>
        <w:t>8.1%</w:t>
      </w:r>
      <w:r w:rsidRPr="007E4667">
        <w:rPr>
          <w:rFonts w:ascii="宋体" w:hAnsi="宋体" w:hint="eastAsia"/>
          <w:color w:val="333333"/>
          <w:sz w:val="28"/>
          <w:szCs w:val="28"/>
        </w:rPr>
        <w:t>。</w:t>
      </w:r>
      <w:r w:rsidRPr="007E4667">
        <w:rPr>
          <w:rFonts w:ascii="宋体" w:hAnsi="宋体"/>
          <w:color w:val="333333"/>
          <w:sz w:val="28"/>
          <w:szCs w:val="28"/>
        </w:rPr>
        <w:t>12</w:t>
      </w:r>
      <w:r w:rsidRPr="007E4667">
        <w:rPr>
          <w:rFonts w:ascii="宋体" w:hAnsi="宋体" w:hint="eastAsia"/>
          <w:color w:val="333333"/>
          <w:sz w:val="28"/>
          <w:szCs w:val="28"/>
        </w:rPr>
        <w:t>月份，居民消费价格同比上涨</w:t>
      </w:r>
      <w:r w:rsidRPr="007E4667">
        <w:rPr>
          <w:rFonts w:ascii="宋体" w:hAnsi="宋体"/>
          <w:color w:val="333333"/>
          <w:sz w:val="28"/>
          <w:szCs w:val="28"/>
        </w:rPr>
        <w:t>1.8%</w:t>
      </w:r>
      <w:r w:rsidRPr="007E4667">
        <w:rPr>
          <w:rFonts w:ascii="宋体" w:hAnsi="宋体" w:hint="eastAsia"/>
          <w:color w:val="333333"/>
          <w:sz w:val="28"/>
          <w:szCs w:val="28"/>
        </w:rPr>
        <w:t>，环比上涨</w:t>
      </w:r>
      <w:r w:rsidRPr="007E4667">
        <w:rPr>
          <w:rFonts w:ascii="宋体" w:hAnsi="宋体"/>
          <w:color w:val="333333"/>
          <w:sz w:val="28"/>
          <w:szCs w:val="28"/>
        </w:rPr>
        <w:t>0.3%</w:t>
      </w:r>
      <w:r w:rsidRPr="007E4667">
        <w:rPr>
          <w:rFonts w:ascii="宋体" w:hAnsi="宋体" w:hint="eastAsia"/>
          <w:color w:val="333333"/>
          <w:sz w:val="28"/>
          <w:szCs w:val="28"/>
        </w:rPr>
        <w:t>。</w:t>
      </w:r>
    </w:p>
    <w:p w:rsidR="00AE60BB" w:rsidRPr="007E4667" w:rsidRDefault="00AE60BB" w:rsidP="00AE60BB">
      <w:pPr>
        <w:ind w:firstLineChars="200" w:firstLine="560"/>
        <w:rPr>
          <w:rFonts w:ascii="宋体" w:hAnsi="宋体"/>
          <w:color w:val="333333"/>
          <w:sz w:val="28"/>
          <w:szCs w:val="28"/>
        </w:rPr>
      </w:pPr>
      <w:r w:rsidRPr="007E4667">
        <w:rPr>
          <w:rFonts w:ascii="宋体" w:hAnsi="宋体" w:hint="eastAsia"/>
          <w:color w:val="333333"/>
          <w:sz w:val="28"/>
          <w:szCs w:val="28"/>
        </w:rPr>
        <w:t>全年工业生产者出厂价格比上年上涨</w:t>
      </w:r>
      <w:r w:rsidRPr="007E4667">
        <w:rPr>
          <w:rFonts w:ascii="宋体" w:hAnsi="宋体"/>
          <w:color w:val="333333"/>
          <w:sz w:val="28"/>
          <w:szCs w:val="28"/>
        </w:rPr>
        <w:t>6.3%</w:t>
      </w:r>
      <w:r w:rsidRPr="007E4667">
        <w:rPr>
          <w:rFonts w:ascii="宋体" w:hAnsi="宋体" w:hint="eastAsia"/>
          <w:color w:val="333333"/>
          <w:sz w:val="28"/>
          <w:szCs w:val="28"/>
        </w:rPr>
        <w:t>；全年工业生产者购进价格比上年上涨</w:t>
      </w:r>
      <w:r w:rsidRPr="007E4667">
        <w:rPr>
          <w:rFonts w:ascii="宋体" w:hAnsi="宋体"/>
          <w:color w:val="333333"/>
          <w:sz w:val="28"/>
          <w:szCs w:val="28"/>
        </w:rPr>
        <w:t>8.1%</w:t>
      </w:r>
      <w:r w:rsidRPr="007E4667">
        <w:rPr>
          <w:rFonts w:ascii="宋体" w:hAnsi="宋体" w:hint="eastAsia"/>
          <w:color w:val="333333"/>
          <w:sz w:val="28"/>
          <w:szCs w:val="28"/>
        </w:rPr>
        <w:t>。</w:t>
      </w:r>
    </w:p>
    <w:p w:rsidR="00AE60BB" w:rsidRPr="007E4667" w:rsidRDefault="00AE60BB" w:rsidP="00AE60BB">
      <w:pPr>
        <w:rPr>
          <w:rFonts w:ascii="宋体" w:hAnsi="宋体"/>
          <w:sz w:val="28"/>
          <w:szCs w:val="28"/>
        </w:rPr>
      </w:pPr>
      <w:r w:rsidRPr="007E4667">
        <w:rPr>
          <w:noProof/>
          <w:sz w:val="28"/>
          <w:szCs w:val="28"/>
        </w:rPr>
        <w:lastRenderedPageBreak/>
        <w:drawing>
          <wp:inline distT="0" distB="0" distL="0" distR="0" wp14:anchorId="073965BE" wp14:editId="4000D0D6">
            <wp:extent cx="5274310" cy="2562225"/>
            <wp:effectExtent l="0" t="0" r="2540" b="9525"/>
            <wp:docPr id="18" name="图表 18">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F7E574F-3295-4A66-8D23-B34CF283EF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60BB" w:rsidRPr="007E4667" w:rsidRDefault="00AE60BB" w:rsidP="00AE60BB">
      <w:pPr>
        <w:spacing w:line="360" w:lineRule="auto"/>
        <w:rPr>
          <w:rFonts w:ascii="宋体" w:hAnsi="宋体"/>
          <w:b/>
          <w:sz w:val="28"/>
          <w:szCs w:val="28"/>
        </w:rPr>
      </w:pPr>
      <w:r w:rsidRPr="007E4667">
        <w:rPr>
          <w:rFonts w:ascii="宋体" w:hAnsi="宋体"/>
          <w:b/>
          <w:sz w:val="28"/>
          <w:szCs w:val="28"/>
        </w:rPr>
        <w:t>3.</w:t>
      </w:r>
      <w:r w:rsidRPr="007E4667">
        <w:rPr>
          <w:rFonts w:ascii="宋体" w:hAnsi="宋体" w:hint="eastAsia"/>
          <w:b/>
          <w:sz w:val="28"/>
          <w:szCs w:val="28"/>
        </w:rPr>
        <w:t xml:space="preserve"> 就业市场总体稳定</w:t>
      </w:r>
    </w:p>
    <w:p w:rsidR="00AE60BB" w:rsidRPr="007E4667" w:rsidRDefault="00AE60BB" w:rsidP="00AE60BB">
      <w:pPr>
        <w:rPr>
          <w:rFonts w:ascii="宋体" w:hAnsi="宋体"/>
          <w:color w:val="333333"/>
          <w:sz w:val="28"/>
          <w:szCs w:val="28"/>
        </w:rPr>
      </w:pPr>
    </w:p>
    <w:p w:rsidR="00AE60BB" w:rsidRPr="007E4667" w:rsidRDefault="00AE60BB" w:rsidP="00AE60BB">
      <w:pPr>
        <w:ind w:firstLineChars="200" w:firstLine="560"/>
        <w:rPr>
          <w:rFonts w:ascii="宋体" w:hAnsi="宋体"/>
          <w:color w:val="333333"/>
          <w:sz w:val="28"/>
          <w:szCs w:val="28"/>
        </w:rPr>
      </w:pPr>
      <w:r w:rsidRPr="007E4667">
        <w:rPr>
          <w:rFonts w:ascii="宋体" w:hAnsi="宋体" w:hint="eastAsia"/>
          <w:color w:val="333333"/>
          <w:sz w:val="28"/>
          <w:szCs w:val="28"/>
        </w:rPr>
        <w:t>城镇新增就业人数超过</w:t>
      </w:r>
      <w:r w:rsidRPr="007E4667">
        <w:rPr>
          <w:rFonts w:ascii="宋体" w:hAnsi="宋体"/>
          <w:color w:val="333333"/>
          <w:sz w:val="28"/>
          <w:szCs w:val="28"/>
        </w:rPr>
        <w:t>1300</w:t>
      </w:r>
      <w:r w:rsidRPr="007E4667">
        <w:rPr>
          <w:rFonts w:ascii="宋体" w:hAnsi="宋体" w:hint="eastAsia"/>
          <w:color w:val="333333"/>
          <w:sz w:val="28"/>
          <w:szCs w:val="28"/>
        </w:rPr>
        <w:t>万。</w:t>
      </w:r>
      <w:r w:rsidRPr="007E4667">
        <w:rPr>
          <w:rFonts w:ascii="宋体" w:hAnsi="宋体"/>
          <w:color w:val="333333"/>
          <w:sz w:val="28"/>
          <w:szCs w:val="28"/>
        </w:rPr>
        <w:t>12</w:t>
      </w:r>
      <w:r w:rsidRPr="007E4667">
        <w:rPr>
          <w:rFonts w:ascii="宋体" w:hAnsi="宋体" w:hint="eastAsia"/>
          <w:color w:val="333333"/>
          <w:sz w:val="28"/>
          <w:szCs w:val="28"/>
        </w:rPr>
        <w:t>月城镇调查失业率为</w:t>
      </w:r>
      <w:r w:rsidRPr="007E4667">
        <w:rPr>
          <w:rFonts w:ascii="宋体" w:hAnsi="宋体"/>
          <w:color w:val="333333"/>
          <w:sz w:val="28"/>
          <w:szCs w:val="28"/>
        </w:rPr>
        <w:t>4.98%</w:t>
      </w:r>
      <w:r w:rsidRPr="007E4667">
        <w:rPr>
          <w:rFonts w:ascii="宋体" w:hAnsi="宋体" w:hint="eastAsia"/>
          <w:color w:val="333333"/>
          <w:sz w:val="28"/>
          <w:szCs w:val="28"/>
        </w:rPr>
        <w:t>。</w:t>
      </w:r>
    </w:p>
    <w:p w:rsidR="00AE60BB" w:rsidRPr="007E4667" w:rsidRDefault="00AE60BB" w:rsidP="00AE60BB">
      <w:pPr>
        <w:rPr>
          <w:rFonts w:ascii="宋体" w:hAnsi="宋体"/>
          <w:sz w:val="28"/>
          <w:szCs w:val="28"/>
        </w:rPr>
      </w:pPr>
    </w:p>
    <w:p w:rsidR="00AE60BB" w:rsidRPr="007E4667" w:rsidRDefault="00AE60BB" w:rsidP="00AE60BB">
      <w:pPr>
        <w:spacing w:line="360" w:lineRule="auto"/>
        <w:rPr>
          <w:rFonts w:ascii="宋体" w:hAnsi="宋体"/>
          <w:b/>
          <w:sz w:val="28"/>
          <w:szCs w:val="28"/>
          <w:shd w:val="clear" w:color="auto" w:fill="FFFFFF"/>
        </w:rPr>
      </w:pPr>
      <w:r w:rsidRPr="007E4667">
        <w:rPr>
          <w:rFonts w:ascii="宋体" w:hAnsi="宋体"/>
          <w:b/>
          <w:sz w:val="28"/>
          <w:szCs w:val="28"/>
          <w:shd w:val="clear" w:color="auto" w:fill="FFFFFF"/>
        </w:rPr>
        <w:t>4.</w:t>
      </w:r>
      <w:r w:rsidRPr="007E4667">
        <w:rPr>
          <w:rFonts w:ascii="宋体" w:hAnsi="宋体" w:hint="eastAsia"/>
          <w:b/>
          <w:sz w:val="28"/>
          <w:szCs w:val="28"/>
          <w:shd w:val="clear" w:color="auto" w:fill="FFFFFF"/>
        </w:rPr>
        <w:t>汇率继续升</w:t>
      </w:r>
      <w:r>
        <w:rPr>
          <w:rFonts w:ascii="宋体" w:hAnsi="宋体" w:hint="eastAsia"/>
          <w:b/>
          <w:sz w:val="28"/>
          <w:szCs w:val="28"/>
          <w:shd w:val="clear" w:color="auto" w:fill="FFFFFF"/>
        </w:rPr>
        <w:t>值</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12月末，国家外汇储备余额为3.14</w:t>
      </w:r>
      <w:proofErr w:type="gramStart"/>
      <w:r w:rsidRPr="007E4667">
        <w:rPr>
          <w:rFonts w:ascii="宋体" w:hAnsi="宋体" w:hint="eastAsia"/>
          <w:sz w:val="28"/>
          <w:szCs w:val="28"/>
        </w:rPr>
        <w:t>万亿</w:t>
      </w:r>
      <w:proofErr w:type="gramEnd"/>
      <w:r w:rsidRPr="007E4667">
        <w:rPr>
          <w:rFonts w:ascii="宋体" w:hAnsi="宋体" w:hint="eastAsia"/>
          <w:sz w:val="28"/>
          <w:szCs w:val="28"/>
        </w:rPr>
        <w:t>美元。12月末，人民币汇率为1美元兑6.5342元人民币</w:t>
      </w:r>
      <w:r>
        <w:rPr>
          <w:rFonts w:ascii="宋体" w:hAnsi="宋体" w:hint="eastAsia"/>
          <w:sz w:val="28"/>
          <w:szCs w:val="28"/>
        </w:rPr>
        <w:t>，比9月末升10.27个基点</w:t>
      </w:r>
      <w:r w:rsidRPr="007E4667">
        <w:rPr>
          <w:rFonts w:ascii="宋体" w:hAnsi="宋体" w:hint="eastAsia"/>
          <w:sz w:val="28"/>
          <w:szCs w:val="28"/>
        </w:rPr>
        <w:t>。</w:t>
      </w:r>
    </w:p>
    <w:p w:rsidR="00AE60BB" w:rsidRPr="007E4667" w:rsidRDefault="00AE60BB" w:rsidP="00AE60BB">
      <w:pPr>
        <w:rPr>
          <w:rFonts w:ascii="宋体" w:hAnsi="宋体"/>
          <w:sz w:val="28"/>
          <w:szCs w:val="28"/>
        </w:rPr>
      </w:pPr>
    </w:p>
    <w:p w:rsidR="00AE60BB" w:rsidRPr="007E4667" w:rsidRDefault="00AE60BB" w:rsidP="00AE60BB">
      <w:pPr>
        <w:spacing w:line="360" w:lineRule="auto"/>
        <w:jc w:val="center"/>
        <w:rPr>
          <w:rFonts w:ascii="宋体" w:hAnsi="宋体"/>
          <w:b/>
          <w:kern w:val="0"/>
          <w:sz w:val="28"/>
          <w:szCs w:val="28"/>
        </w:rPr>
      </w:pPr>
      <w:r w:rsidRPr="007E4667">
        <w:rPr>
          <w:rFonts w:ascii="宋体" w:hAnsi="宋体" w:hint="eastAsia"/>
          <w:b/>
          <w:kern w:val="0"/>
          <w:sz w:val="28"/>
          <w:szCs w:val="28"/>
        </w:rPr>
        <w:t>二、因素与结构</w:t>
      </w:r>
    </w:p>
    <w:p w:rsidR="00AE60BB" w:rsidRPr="007E4667" w:rsidRDefault="00AE60BB" w:rsidP="00AE60BB">
      <w:pPr>
        <w:spacing w:line="360" w:lineRule="auto"/>
        <w:jc w:val="center"/>
        <w:rPr>
          <w:rFonts w:ascii="宋体" w:hAnsi="宋体"/>
          <w:b/>
          <w:kern w:val="0"/>
          <w:sz w:val="28"/>
          <w:szCs w:val="28"/>
        </w:rPr>
      </w:pPr>
    </w:p>
    <w:p w:rsidR="00AE60BB" w:rsidRPr="007E4667" w:rsidRDefault="00AE60BB" w:rsidP="00AE60BB">
      <w:pPr>
        <w:pStyle w:val="2"/>
        <w:spacing w:line="360" w:lineRule="auto"/>
        <w:ind w:firstLineChars="0" w:firstLine="0"/>
        <w:rPr>
          <w:rFonts w:ascii="宋体" w:hAnsi="宋体"/>
          <w:b/>
          <w:sz w:val="28"/>
          <w:szCs w:val="28"/>
        </w:rPr>
      </w:pPr>
      <w:r w:rsidRPr="007E4667">
        <w:rPr>
          <w:rFonts w:ascii="宋体" w:hAnsi="宋体" w:hint="eastAsia"/>
          <w:b/>
          <w:sz w:val="28"/>
          <w:szCs w:val="28"/>
        </w:rPr>
        <w:t>1.投资增速回落   网上销售</w:t>
      </w:r>
      <w:r>
        <w:rPr>
          <w:rFonts w:ascii="宋体" w:hAnsi="宋体" w:hint="eastAsia"/>
          <w:b/>
          <w:sz w:val="28"/>
          <w:szCs w:val="28"/>
        </w:rPr>
        <w:t>加</w:t>
      </w:r>
      <w:r w:rsidRPr="007E4667">
        <w:rPr>
          <w:rFonts w:ascii="宋体" w:hAnsi="宋体" w:hint="eastAsia"/>
          <w:b/>
          <w:sz w:val="28"/>
          <w:szCs w:val="28"/>
        </w:rPr>
        <w:t>快</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全年全国固定资产投资（不含农户，下同）</w:t>
      </w:r>
      <w:r w:rsidRPr="007E4667">
        <w:rPr>
          <w:rFonts w:ascii="宋体" w:hAnsi="宋体"/>
          <w:sz w:val="28"/>
          <w:szCs w:val="28"/>
        </w:rPr>
        <w:t>631684</w:t>
      </w:r>
      <w:r w:rsidRPr="007E4667">
        <w:rPr>
          <w:rFonts w:ascii="宋体" w:hAnsi="宋体" w:hint="eastAsia"/>
          <w:sz w:val="28"/>
          <w:szCs w:val="28"/>
        </w:rPr>
        <w:t>亿元，比上年增长</w:t>
      </w:r>
      <w:r w:rsidRPr="007E4667">
        <w:rPr>
          <w:rFonts w:ascii="宋体" w:hAnsi="宋体"/>
          <w:sz w:val="28"/>
          <w:szCs w:val="28"/>
        </w:rPr>
        <w:t>7.2%</w:t>
      </w:r>
      <w:r w:rsidRPr="007E4667">
        <w:rPr>
          <w:rFonts w:ascii="宋体" w:hAnsi="宋体" w:hint="eastAsia"/>
          <w:sz w:val="28"/>
          <w:szCs w:val="28"/>
        </w:rPr>
        <w:t>，增速比上年回落</w:t>
      </w:r>
      <w:r w:rsidRPr="007E4667">
        <w:rPr>
          <w:rFonts w:ascii="宋体" w:hAnsi="宋体"/>
          <w:sz w:val="28"/>
          <w:szCs w:val="28"/>
        </w:rPr>
        <w:t>0.9</w:t>
      </w:r>
      <w:r w:rsidRPr="007E4667">
        <w:rPr>
          <w:rFonts w:ascii="宋体" w:hAnsi="宋体" w:hint="eastAsia"/>
          <w:sz w:val="28"/>
          <w:szCs w:val="28"/>
        </w:rPr>
        <w:t>个百分点。其中，国有控股投资</w:t>
      </w:r>
      <w:r w:rsidRPr="007E4667">
        <w:rPr>
          <w:rFonts w:ascii="宋体" w:hAnsi="宋体"/>
          <w:sz w:val="28"/>
          <w:szCs w:val="28"/>
        </w:rPr>
        <w:t>232887</w:t>
      </w:r>
      <w:r w:rsidRPr="007E4667">
        <w:rPr>
          <w:rFonts w:ascii="宋体" w:hAnsi="宋体" w:hint="eastAsia"/>
          <w:sz w:val="28"/>
          <w:szCs w:val="28"/>
        </w:rPr>
        <w:t>亿元，增长</w:t>
      </w:r>
      <w:r w:rsidRPr="007E4667">
        <w:rPr>
          <w:rFonts w:ascii="宋体" w:hAnsi="宋体"/>
          <w:sz w:val="28"/>
          <w:szCs w:val="28"/>
        </w:rPr>
        <w:t>10.1%</w:t>
      </w:r>
      <w:r w:rsidRPr="007E4667">
        <w:rPr>
          <w:rFonts w:ascii="宋体" w:hAnsi="宋体" w:hint="eastAsia"/>
          <w:sz w:val="28"/>
          <w:szCs w:val="28"/>
        </w:rPr>
        <w:t>；民间投资</w:t>
      </w:r>
      <w:r w:rsidRPr="007E4667">
        <w:rPr>
          <w:rFonts w:ascii="宋体" w:hAnsi="宋体"/>
          <w:sz w:val="28"/>
          <w:szCs w:val="28"/>
        </w:rPr>
        <w:t>381510</w:t>
      </w:r>
      <w:r w:rsidRPr="007E4667">
        <w:rPr>
          <w:rFonts w:ascii="宋体" w:hAnsi="宋体" w:hint="eastAsia"/>
          <w:sz w:val="28"/>
          <w:szCs w:val="28"/>
        </w:rPr>
        <w:t>亿元，增长</w:t>
      </w:r>
      <w:r w:rsidRPr="007E4667">
        <w:rPr>
          <w:rFonts w:ascii="宋体" w:hAnsi="宋体"/>
          <w:sz w:val="28"/>
          <w:szCs w:val="28"/>
        </w:rPr>
        <w:t>6.0%</w:t>
      </w:r>
      <w:r w:rsidRPr="007E4667">
        <w:rPr>
          <w:rFonts w:ascii="宋体" w:hAnsi="宋体" w:hint="eastAsia"/>
          <w:sz w:val="28"/>
          <w:szCs w:val="28"/>
        </w:rPr>
        <w:t>，比上</w:t>
      </w:r>
      <w:r w:rsidRPr="007E4667">
        <w:rPr>
          <w:rFonts w:ascii="宋体" w:hAnsi="宋体" w:hint="eastAsia"/>
          <w:sz w:val="28"/>
          <w:szCs w:val="28"/>
        </w:rPr>
        <w:lastRenderedPageBreak/>
        <w:t>年加快</w:t>
      </w:r>
      <w:r w:rsidRPr="007E4667">
        <w:rPr>
          <w:rFonts w:ascii="宋体" w:hAnsi="宋体"/>
          <w:sz w:val="28"/>
          <w:szCs w:val="28"/>
        </w:rPr>
        <w:t>2.8</w:t>
      </w:r>
      <w:r w:rsidRPr="007E4667">
        <w:rPr>
          <w:rFonts w:ascii="宋体" w:hAnsi="宋体" w:hint="eastAsia"/>
          <w:sz w:val="28"/>
          <w:szCs w:val="28"/>
        </w:rPr>
        <w:t>个百分点，占全部投资的比重为</w:t>
      </w:r>
      <w:r w:rsidRPr="007E4667">
        <w:rPr>
          <w:rFonts w:ascii="宋体" w:hAnsi="宋体"/>
          <w:sz w:val="28"/>
          <w:szCs w:val="28"/>
        </w:rPr>
        <w:t>60.4%</w:t>
      </w:r>
      <w:r w:rsidRPr="007E4667">
        <w:rPr>
          <w:rFonts w:ascii="宋体" w:hAnsi="宋体" w:hint="eastAsia"/>
          <w:sz w:val="28"/>
          <w:szCs w:val="28"/>
        </w:rPr>
        <w:t>。分产业看，第一产业投资</w:t>
      </w:r>
      <w:r w:rsidRPr="007E4667">
        <w:rPr>
          <w:rFonts w:ascii="宋体" w:hAnsi="宋体"/>
          <w:sz w:val="28"/>
          <w:szCs w:val="28"/>
        </w:rPr>
        <w:t>20892</w:t>
      </w:r>
      <w:r w:rsidRPr="007E4667">
        <w:rPr>
          <w:rFonts w:ascii="宋体" w:hAnsi="宋体" w:hint="eastAsia"/>
          <w:sz w:val="28"/>
          <w:szCs w:val="28"/>
        </w:rPr>
        <w:t>亿元，增长</w:t>
      </w:r>
      <w:r w:rsidRPr="007E4667">
        <w:rPr>
          <w:rFonts w:ascii="宋体" w:hAnsi="宋体"/>
          <w:sz w:val="28"/>
          <w:szCs w:val="28"/>
        </w:rPr>
        <w:t>11.8%</w:t>
      </w:r>
      <w:r w:rsidRPr="007E4667">
        <w:rPr>
          <w:rFonts w:ascii="宋体" w:hAnsi="宋体" w:hint="eastAsia"/>
          <w:sz w:val="28"/>
          <w:szCs w:val="28"/>
        </w:rPr>
        <w:t>；第二产业投资</w:t>
      </w:r>
      <w:r w:rsidRPr="007E4667">
        <w:rPr>
          <w:rFonts w:ascii="宋体" w:hAnsi="宋体"/>
          <w:sz w:val="28"/>
          <w:szCs w:val="28"/>
        </w:rPr>
        <w:t>235751</w:t>
      </w:r>
      <w:r w:rsidRPr="007E4667">
        <w:rPr>
          <w:rFonts w:ascii="宋体" w:hAnsi="宋体" w:hint="eastAsia"/>
          <w:sz w:val="28"/>
          <w:szCs w:val="28"/>
        </w:rPr>
        <w:t>亿元，增长</w:t>
      </w:r>
      <w:r w:rsidRPr="007E4667">
        <w:rPr>
          <w:rFonts w:ascii="宋体" w:hAnsi="宋体"/>
          <w:sz w:val="28"/>
          <w:szCs w:val="28"/>
        </w:rPr>
        <w:t>3.2%</w:t>
      </w:r>
      <w:r w:rsidRPr="007E4667">
        <w:rPr>
          <w:rFonts w:ascii="宋体" w:hAnsi="宋体" w:hint="eastAsia"/>
          <w:sz w:val="28"/>
          <w:szCs w:val="28"/>
        </w:rPr>
        <w:t>，其中制造业投资</w:t>
      </w:r>
      <w:r w:rsidRPr="007E4667">
        <w:rPr>
          <w:rFonts w:ascii="宋体" w:hAnsi="宋体"/>
          <w:sz w:val="28"/>
          <w:szCs w:val="28"/>
        </w:rPr>
        <w:t>193616</w:t>
      </w:r>
      <w:r w:rsidRPr="007E4667">
        <w:rPr>
          <w:rFonts w:ascii="宋体" w:hAnsi="宋体" w:hint="eastAsia"/>
          <w:sz w:val="28"/>
          <w:szCs w:val="28"/>
        </w:rPr>
        <w:t>亿元，增长</w:t>
      </w:r>
      <w:r w:rsidRPr="007E4667">
        <w:rPr>
          <w:rFonts w:ascii="宋体" w:hAnsi="宋体"/>
          <w:sz w:val="28"/>
          <w:szCs w:val="28"/>
        </w:rPr>
        <w:t>4.8%</w:t>
      </w:r>
      <w:r w:rsidRPr="007E4667">
        <w:rPr>
          <w:rFonts w:ascii="宋体" w:hAnsi="宋体" w:hint="eastAsia"/>
          <w:sz w:val="28"/>
          <w:szCs w:val="28"/>
        </w:rPr>
        <w:t>；第三产业投资</w:t>
      </w:r>
      <w:r w:rsidRPr="007E4667">
        <w:rPr>
          <w:rFonts w:ascii="宋体" w:hAnsi="宋体"/>
          <w:sz w:val="28"/>
          <w:szCs w:val="28"/>
        </w:rPr>
        <w:t>375040</w:t>
      </w:r>
      <w:r w:rsidRPr="007E4667">
        <w:rPr>
          <w:rFonts w:ascii="宋体" w:hAnsi="宋体" w:hint="eastAsia"/>
          <w:sz w:val="28"/>
          <w:szCs w:val="28"/>
        </w:rPr>
        <w:t>亿元，增长</w:t>
      </w:r>
      <w:r w:rsidRPr="007E4667">
        <w:rPr>
          <w:rFonts w:ascii="宋体" w:hAnsi="宋体"/>
          <w:sz w:val="28"/>
          <w:szCs w:val="28"/>
        </w:rPr>
        <w:t>9.5%</w:t>
      </w:r>
      <w:r w:rsidRPr="007E4667">
        <w:rPr>
          <w:rFonts w:ascii="宋体" w:hAnsi="宋体" w:hint="eastAsia"/>
          <w:sz w:val="28"/>
          <w:szCs w:val="28"/>
        </w:rPr>
        <w:t>。基础设施投资</w:t>
      </w:r>
      <w:r w:rsidRPr="007E4667">
        <w:rPr>
          <w:rFonts w:ascii="宋体" w:hAnsi="宋体"/>
          <w:sz w:val="28"/>
          <w:szCs w:val="28"/>
        </w:rPr>
        <w:t>140005</w:t>
      </w:r>
      <w:r w:rsidRPr="007E4667">
        <w:rPr>
          <w:rFonts w:ascii="宋体" w:hAnsi="宋体" w:hint="eastAsia"/>
          <w:sz w:val="28"/>
          <w:szCs w:val="28"/>
        </w:rPr>
        <w:t>亿元，增长</w:t>
      </w:r>
      <w:r w:rsidRPr="007E4667">
        <w:rPr>
          <w:rFonts w:ascii="宋体" w:hAnsi="宋体"/>
          <w:sz w:val="28"/>
          <w:szCs w:val="28"/>
        </w:rPr>
        <w:t>19.0%</w:t>
      </w:r>
      <w:r w:rsidRPr="007E4667">
        <w:rPr>
          <w:rFonts w:ascii="宋体" w:hAnsi="宋体" w:hint="eastAsia"/>
          <w:sz w:val="28"/>
          <w:szCs w:val="28"/>
        </w:rPr>
        <w:t>，比上年加快</w:t>
      </w:r>
      <w:r w:rsidRPr="007E4667">
        <w:rPr>
          <w:rFonts w:ascii="宋体" w:hAnsi="宋体"/>
          <w:sz w:val="28"/>
          <w:szCs w:val="28"/>
        </w:rPr>
        <w:t>1.6</w:t>
      </w:r>
      <w:r w:rsidRPr="007E4667">
        <w:rPr>
          <w:rFonts w:ascii="宋体" w:hAnsi="宋体" w:hint="eastAsia"/>
          <w:sz w:val="28"/>
          <w:szCs w:val="28"/>
        </w:rPr>
        <w:t>个百分点。高技术制造业、装备制造业投资比上年分别增长</w:t>
      </w:r>
      <w:r w:rsidRPr="007E4667">
        <w:rPr>
          <w:rFonts w:ascii="宋体" w:hAnsi="宋体"/>
          <w:sz w:val="28"/>
          <w:szCs w:val="28"/>
        </w:rPr>
        <w:t>17.0%</w:t>
      </w:r>
      <w:r w:rsidRPr="007E4667">
        <w:rPr>
          <w:rFonts w:ascii="宋体" w:hAnsi="宋体" w:hint="eastAsia"/>
          <w:sz w:val="28"/>
          <w:szCs w:val="28"/>
        </w:rPr>
        <w:t>和</w:t>
      </w:r>
      <w:r w:rsidRPr="007E4667">
        <w:rPr>
          <w:rFonts w:ascii="宋体" w:hAnsi="宋体"/>
          <w:sz w:val="28"/>
          <w:szCs w:val="28"/>
        </w:rPr>
        <w:t>8.6%</w:t>
      </w:r>
      <w:r w:rsidRPr="007E4667">
        <w:rPr>
          <w:rFonts w:ascii="宋体" w:hAnsi="宋体" w:hint="eastAsia"/>
          <w:sz w:val="28"/>
          <w:szCs w:val="28"/>
        </w:rPr>
        <w:t>，分别加快</w:t>
      </w:r>
      <w:r w:rsidRPr="007E4667">
        <w:rPr>
          <w:rFonts w:ascii="宋体" w:hAnsi="宋体"/>
          <w:sz w:val="28"/>
          <w:szCs w:val="28"/>
        </w:rPr>
        <w:t>2.8</w:t>
      </w:r>
      <w:r w:rsidRPr="007E4667">
        <w:rPr>
          <w:rFonts w:ascii="宋体" w:hAnsi="宋体" w:hint="eastAsia"/>
          <w:sz w:val="28"/>
          <w:szCs w:val="28"/>
        </w:rPr>
        <w:t>和</w:t>
      </w:r>
      <w:r w:rsidRPr="007E4667">
        <w:rPr>
          <w:rFonts w:ascii="宋体" w:hAnsi="宋体"/>
          <w:sz w:val="28"/>
          <w:szCs w:val="28"/>
        </w:rPr>
        <w:t>4.2</w:t>
      </w:r>
      <w:r w:rsidRPr="007E4667">
        <w:rPr>
          <w:rFonts w:ascii="宋体" w:hAnsi="宋体" w:hint="eastAsia"/>
          <w:sz w:val="28"/>
          <w:szCs w:val="28"/>
        </w:rPr>
        <w:t>个百分点；高耗能制造业投资比上年下降</w:t>
      </w:r>
      <w:r w:rsidRPr="007E4667">
        <w:rPr>
          <w:rFonts w:ascii="宋体" w:hAnsi="宋体"/>
          <w:sz w:val="28"/>
          <w:szCs w:val="28"/>
        </w:rPr>
        <w:t>1.8%</w:t>
      </w:r>
      <w:r w:rsidRPr="007E4667">
        <w:rPr>
          <w:rFonts w:ascii="宋体" w:hAnsi="宋体" w:hint="eastAsia"/>
          <w:sz w:val="28"/>
          <w:szCs w:val="28"/>
        </w:rPr>
        <w:t>。</w:t>
      </w: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全年社会消费品零售总额</w:t>
      </w:r>
      <w:r w:rsidRPr="007E4667">
        <w:rPr>
          <w:rFonts w:ascii="宋体" w:hAnsi="宋体"/>
          <w:sz w:val="28"/>
          <w:szCs w:val="28"/>
        </w:rPr>
        <w:t>366262</w:t>
      </w:r>
      <w:r w:rsidRPr="007E4667">
        <w:rPr>
          <w:rFonts w:ascii="宋体" w:hAnsi="宋体" w:hint="eastAsia"/>
          <w:sz w:val="28"/>
          <w:szCs w:val="28"/>
        </w:rPr>
        <w:t>亿元，比上年增长</w:t>
      </w:r>
      <w:r w:rsidRPr="007E4667">
        <w:rPr>
          <w:rFonts w:ascii="宋体" w:hAnsi="宋体"/>
          <w:sz w:val="28"/>
          <w:szCs w:val="28"/>
        </w:rPr>
        <w:t>10.2%</w:t>
      </w:r>
      <w:r w:rsidRPr="007E4667">
        <w:rPr>
          <w:rFonts w:ascii="宋体" w:hAnsi="宋体" w:hint="eastAsia"/>
          <w:sz w:val="28"/>
          <w:szCs w:val="28"/>
        </w:rPr>
        <w:t>，增速比上年回落</w:t>
      </w:r>
      <w:r w:rsidRPr="007E4667">
        <w:rPr>
          <w:rFonts w:ascii="宋体" w:hAnsi="宋体"/>
          <w:sz w:val="28"/>
          <w:szCs w:val="28"/>
        </w:rPr>
        <w:t>0.2</w:t>
      </w:r>
      <w:r w:rsidRPr="007E4667">
        <w:rPr>
          <w:rFonts w:ascii="宋体" w:hAnsi="宋体" w:hint="eastAsia"/>
          <w:sz w:val="28"/>
          <w:szCs w:val="28"/>
        </w:rPr>
        <w:t>个百分点。其中，限额以上单位消费品零售额</w:t>
      </w:r>
      <w:r w:rsidRPr="007E4667">
        <w:rPr>
          <w:rFonts w:ascii="宋体" w:hAnsi="宋体"/>
          <w:sz w:val="28"/>
          <w:szCs w:val="28"/>
        </w:rPr>
        <w:t>160613</w:t>
      </w:r>
      <w:r w:rsidRPr="007E4667">
        <w:rPr>
          <w:rFonts w:ascii="宋体" w:hAnsi="宋体" w:hint="eastAsia"/>
          <w:sz w:val="28"/>
          <w:szCs w:val="28"/>
        </w:rPr>
        <w:t>亿元，增长</w:t>
      </w:r>
      <w:r w:rsidRPr="007E4667">
        <w:rPr>
          <w:rFonts w:ascii="宋体" w:hAnsi="宋体"/>
          <w:sz w:val="28"/>
          <w:szCs w:val="28"/>
        </w:rPr>
        <w:t>8.1%</w:t>
      </w:r>
      <w:r w:rsidRPr="007E4667">
        <w:rPr>
          <w:rFonts w:ascii="宋体" w:hAnsi="宋体" w:hint="eastAsia"/>
          <w:sz w:val="28"/>
          <w:szCs w:val="28"/>
        </w:rPr>
        <w:t>。按经营单位所在地分，城镇消费品零售额</w:t>
      </w:r>
      <w:r w:rsidRPr="007E4667">
        <w:rPr>
          <w:rFonts w:ascii="宋体" w:hAnsi="宋体"/>
          <w:sz w:val="28"/>
          <w:szCs w:val="28"/>
        </w:rPr>
        <w:t>314290</w:t>
      </w:r>
      <w:r w:rsidRPr="007E4667">
        <w:rPr>
          <w:rFonts w:ascii="宋体" w:hAnsi="宋体" w:hint="eastAsia"/>
          <w:sz w:val="28"/>
          <w:szCs w:val="28"/>
        </w:rPr>
        <w:t>亿元，增长</w:t>
      </w:r>
      <w:r w:rsidRPr="007E4667">
        <w:rPr>
          <w:rFonts w:ascii="宋体" w:hAnsi="宋体"/>
          <w:sz w:val="28"/>
          <w:szCs w:val="28"/>
        </w:rPr>
        <w:t>10.0%</w:t>
      </w:r>
      <w:r w:rsidRPr="007E4667">
        <w:rPr>
          <w:rFonts w:ascii="宋体" w:hAnsi="宋体" w:hint="eastAsia"/>
          <w:sz w:val="28"/>
          <w:szCs w:val="28"/>
        </w:rPr>
        <w:t>；乡村消费品零售额</w:t>
      </w:r>
      <w:r w:rsidRPr="007E4667">
        <w:rPr>
          <w:rFonts w:ascii="宋体" w:hAnsi="宋体"/>
          <w:sz w:val="28"/>
          <w:szCs w:val="28"/>
        </w:rPr>
        <w:t>51972</w:t>
      </w:r>
      <w:r w:rsidRPr="007E4667">
        <w:rPr>
          <w:rFonts w:ascii="宋体" w:hAnsi="宋体" w:hint="eastAsia"/>
          <w:sz w:val="28"/>
          <w:szCs w:val="28"/>
        </w:rPr>
        <w:t>亿元，增长</w:t>
      </w:r>
      <w:r w:rsidRPr="007E4667">
        <w:rPr>
          <w:rFonts w:ascii="宋体" w:hAnsi="宋体"/>
          <w:sz w:val="28"/>
          <w:szCs w:val="28"/>
        </w:rPr>
        <w:t>11.8%</w:t>
      </w:r>
      <w:r w:rsidRPr="007E4667">
        <w:rPr>
          <w:rFonts w:ascii="宋体" w:hAnsi="宋体" w:hint="eastAsia"/>
          <w:sz w:val="28"/>
          <w:szCs w:val="28"/>
        </w:rPr>
        <w:t>。</w:t>
      </w:r>
    </w:p>
    <w:p w:rsidR="00AE60BB" w:rsidRPr="007E4667" w:rsidRDefault="00AE60BB" w:rsidP="00AE60BB">
      <w:pPr>
        <w:rPr>
          <w:rFonts w:ascii="宋体" w:hAnsi="宋体"/>
          <w:sz w:val="28"/>
          <w:szCs w:val="28"/>
        </w:rPr>
      </w:pPr>
      <w:r w:rsidRPr="007E4667">
        <w:rPr>
          <w:noProof/>
          <w:sz w:val="28"/>
          <w:szCs w:val="28"/>
        </w:rPr>
        <w:drawing>
          <wp:inline distT="0" distB="0" distL="0" distR="0" wp14:anchorId="7A587F06" wp14:editId="300E0EDA">
            <wp:extent cx="5313680" cy="2682815"/>
            <wp:effectExtent l="0" t="0" r="1270" b="3810"/>
            <wp:docPr id="19" name="图表 19">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4F2EB47-A0BB-4CD7-822B-D9885C4EA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0BB" w:rsidRDefault="00AE60BB" w:rsidP="00AE60BB">
      <w:pPr>
        <w:ind w:firstLineChars="200" w:firstLine="560"/>
        <w:rPr>
          <w:rFonts w:ascii="宋体" w:hAnsi="宋体"/>
          <w:sz w:val="28"/>
          <w:szCs w:val="28"/>
        </w:rPr>
      </w:pPr>
      <w:r>
        <w:rPr>
          <w:rFonts w:ascii="宋体" w:hAnsi="宋体" w:hint="eastAsia"/>
          <w:sz w:val="28"/>
          <w:szCs w:val="28"/>
        </w:rPr>
        <w:t>全</w:t>
      </w:r>
      <w:r w:rsidRPr="007E4667">
        <w:rPr>
          <w:rFonts w:ascii="宋体" w:hAnsi="宋体" w:hint="eastAsia"/>
          <w:sz w:val="28"/>
          <w:szCs w:val="28"/>
        </w:rPr>
        <w:t>年全国网上零售额</w:t>
      </w:r>
      <w:r w:rsidRPr="007E4667">
        <w:rPr>
          <w:rFonts w:ascii="宋体" w:hAnsi="宋体"/>
          <w:sz w:val="28"/>
          <w:szCs w:val="28"/>
        </w:rPr>
        <w:t>71751</w:t>
      </w:r>
      <w:r w:rsidRPr="007E4667">
        <w:rPr>
          <w:rFonts w:ascii="宋体" w:hAnsi="宋体" w:hint="eastAsia"/>
          <w:sz w:val="28"/>
          <w:szCs w:val="28"/>
        </w:rPr>
        <w:t>亿元，比上年增长</w:t>
      </w:r>
      <w:r w:rsidRPr="007E4667">
        <w:rPr>
          <w:rFonts w:ascii="宋体" w:hAnsi="宋体"/>
          <w:sz w:val="28"/>
          <w:szCs w:val="28"/>
        </w:rPr>
        <w:t>32.2%</w:t>
      </w:r>
      <w:r w:rsidRPr="007E4667">
        <w:rPr>
          <w:rFonts w:ascii="宋体" w:hAnsi="宋体" w:hint="eastAsia"/>
          <w:sz w:val="28"/>
          <w:szCs w:val="28"/>
        </w:rPr>
        <w:t>，增速比上年加快</w:t>
      </w:r>
      <w:r w:rsidRPr="007E4667">
        <w:rPr>
          <w:rFonts w:ascii="宋体" w:hAnsi="宋体"/>
          <w:sz w:val="28"/>
          <w:szCs w:val="28"/>
        </w:rPr>
        <w:t>6.0</w:t>
      </w:r>
      <w:r w:rsidRPr="007E4667">
        <w:rPr>
          <w:rFonts w:ascii="宋体" w:hAnsi="宋体" w:hint="eastAsia"/>
          <w:sz w:val="28"/>
          <w:szCs w:val="28"/>
        </w:rPr>
        <w:t>个百分点。其中，实物商品网上零售额</w:t>
      </w:r>
      <w:r w:rsidRPr="007E4667">
        <w:rPr>
          <w:rFonts w:ascii="宋体" w:hAnsi="宋体"/>
          <w:sz w:val="28"/>
          <w:szCs w:val="28"/>
        </w:rPr>
        <w:t>54806</w:t>
      </w:r>
      <w:r w:rsidRPr="007E4667">
        <w:rPr>
          <w:rFonts w:ascii="宋体" w:hAnsi="宋体" w:hint="eastAsia"/>
          <w:sz w:val="28"/>
          <w:szCs w:val="28"/>
        </w:rPr>
        <w:t>亿元，增长</w:t>
      </w:r>
      <w:r w:rsidRPr="007E4667">
        <w:rPr>
          <w:rFonts w:ascii="宋体" w:hAnsi="宋体"/>
          <w:sz w:val="28"/>
          <w:szCs w:val="28"/>
        </w:rPr>
        <w:t>28.0%</w:t>
      </w:r>
      <w:r w:rsidRPr="007E4667">
        <w:rPr>
          <w:rFonts w:ascii="宋体" w:hAnsi="宋体" w:hint="eastAsia"/>
          <w:sz w:val="28"/>
          <w:szCs w:val="28"/>
        </w:rPr>
        <w:t>，占社会消费品零售总额的比重为</w:t>
      </w:r>
      <w:r w:rsidRPr="007E4667">
        <w:rPr>
          <w:rFonts w:ascii="宋体" w:hAnsi="宋体"/>
          <w:sz w:val="28"/>
          <w:szCs w:val="28"/>
        </w:rPr>
        <w:t>15.0%</w:t>
      </w:r>
      <w:r w:rsidRPr="007E4667">
        <w:rPr>
          <w:rFonts w:ascii="宋体" w:hAnsi="宋体" w:hint="eastAsia"/>
          <w:sz w:val="28"/>
          <w:szCs w:val="28"/>
        </w:rPr>
        <w:t>，比上年提高</w:t>
      </w:r>
      <w:r w:rsidRPr="007E4667">
        <w:rPr>
          <w:rFonts w:ascii="宋体" w:hAnsi="宋体"/>
          <w:sz w:val="28"/>
          <w:szCs w:val="28"/>
        </w:rPr>
        <w:t>2.4</w:t>
      </w:r>
      <w:r w:rsidRPr="007E4667">
        <w:rPr>
          <w:rFonts w:ascii="宋体" w:hAnsi="宋体" w:hint="eastAsia"/>
          <w:sz w:val="28"/>
          <w:szCs w:val="28"/>
        </w:rPr>
        <w:t>个百分点；非实物商品网上零售额</w:t>
      </w:r>
      <w:r w:rsidRPr="007E4667">
        <w:rPr>
          <w:rFonts w:ascii="宋体" w:hAnsi="宋体"/>
          <w:sz w:val="28"/>
          <w:szCs w:val="28"/>
        </w:rPr>
        <w:t>16945</w:t>
      </w:r>
      <w:r w:rsidRPr="007E4667">
        <w:rPr>
          <w:rFonts w:ascii="宋体" w:hAnsi="宋体" w:hint="eastAsia"/>
          <w:sz w:val="28"/>
          <w:szCs w:val="28"/>
        </w:rPr>
        <w:t>亿元，增长</w:t>
      </w:r>
      <w:r w:rsidRPr="007E4667">
        <w:rPr>
          <w:rFonts w:ascii="宋体" w:hAnsi="宋体"/>
          <w:sz w:val="28"/>
          <w:szCs w:val="28"/>
        </w:rPr>
        <w:t>48.1%</w:t>
      </w:r>
      <w:r w:rsidRPr="007E4667">
        <w:rPr>
          <w:rFonts w:ascii="宋体" w:hAnsi="宋体" w:hint="eastAsia"/>
          <w:sz w:val="28"/>
          <w:szCs w:val="28"/>
        </w:rPr>
        <w:t>。</w:t>
      </w:r>
    </w:p>
    <w:p w:rsidR="00AE60BB" w:rsidRPr="007E4667" w:rsidRDefault="00AE60BB" w:rsidP="00AE60BB">
      <w:pPr>
        <w:ind w:firstLineChars="200" w:firstLine="560"/>
        <w:rPr>
          <w:rFonts w:ascii="宋体" w:hAnsi="宋体"/>
          <w:sz w:val="28"/>
          <w:szCs w:val="28"/>
        </w:rPr>
      </w:pPr>
    </w:p>
    <w:p w:rsidR="00AE60BB" w:rsidRPr="007E4667" w:rsidRDefault="00AE60BB" w:rsidP="00AE60BB">
      <w:pPr>
        <w:spacing w:line="360" w:lineRule="auto"/>
        <w:rPr>
          <w:rFonts w:ascii="宋体" w:hAnsi="宋体"/>
          <w:b/>
          <w:sz w:val="28"/>
          <w:szCs w:val="28"/>
        </w:rPr>
      </w:pPr>
      <w:r w:rsidRPr="007E4667">
        <w:rPr>
          <w:rFonts w:ascii="宋体" w:hAnsi="宋体"/>
          <w:b/>
          <w:sz w:val="28"/>
          <w:szCs w:val="28"/>
        </w:rPr>
        <w:t>2.</w:t>
      </w:r>
      <w:r>
        <w:rPr>
          <w:rFonts w:ascii="宋体" w:hAnsi="宋体" w:hint="eastAsia"/>
          <w:b/>
          <w:sz w:val="28"/>
          <w:szCs w:val="28"/>
        </w:rPr>
        <w:t>进口增长快于出口</w:t>
      </w:r>
      <w:r w:rsidRPr="007E4667">
        <w:rPr>
          <w:rFonts w:ascii="宋体" w:hAnsi="宋体" w:hint="eastAsia"/>
          <w:b/>
          <w:sz w:val="28"/>
          <w:szCs w:val="28"/>
        </w:rPr>
        <w:t xml:space="preserve">  </w:t>
      </w:r>
      <w:r>
        <w:rPr>
          <w:rFonts w:ascii="宋体" w:hAnsi="宋体" w:hint="eastAsia"/>
          <w:b/>
          <w:sz w:val="28"/>
          <w:szCs w:val="28"/>
        </w:rPr>
        <w:t>利用</w:t>
      </w:r>
      <w:r w:rsidRPr="007E4667">
        <w:rPr>
          <w:rFonts w:ascii="宋体" w:hAnsi="宋体" w:hint="eastAsia"/>
          <w:b/>
          <w:sz w:val="28"/>
          <w:szCs w:val="28"/>
        </w:rPr>
        <w:t xml:space="preserve">外资止跌回稳  </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color w:val="333333"/>
          <w:sz w:val="28"/>
          <w:szCs w:val="28"/>
        </w:rPr>
      </w:pPr>
      <w:r w:rsidRPr="007E4667">
        <w:rPr>
          <w:rFonts w:ascii="宋体" w:hAnsi="宋体" w:hint="eastAsia"/>
          <w:color w:val="333333"/>
          <w:sz w:val="28"/>
          <w:szCs w:val="28"/>
        </w:rPr>
        <w:t>全年进出口总额</w:t>
      </w:r>
      <w:r w:rsidRPr="007E4667">
        <w:rPr>
          <w:rFonts w:ascii="宋体" w:hAnsi="宋体"/>
          <w:color w:val="333333"/>
          <w:sz w:val="28"/>
          <w:szCs w:val="28"/>
        </w:rPr>
        <w:t>277921</w:t>
      </w:r>
      <w:r w:rsidRPr="007E4667">
        <w:rPr>
          <w:rFonts w:ascii="宋体" w:hAnsi="宋体" w:hint="eastAsia"/>
          <w:color w:val="333333"/>
          <w:sz w:val="28"/>
          <w:szCs w:val="28"/>
        </w:rPr>
        <w:t>亿元，比上年增长</w:t>
      </w:r>
      <w:r w:rsidRPr="007E4667">
        <w:rPr>
          <w:rFonts w:ascii="宋体" w:hAnsi="宋体"/>
          <w:color w:val="333333"/>
          <w:sz w:val="28"/>
          <w:szCs w:val="28"/>
        </w:rPr>
        <w:t>14.2%</w:t>
      </w:r>
      <w:r w:rsidRPr="007E4667">
        <w:rPr>
          <w:rFonts w:ascii="宋体" w:hAnsi="宋体" w:hint="eastAsia"/>
          <w:color w:val="333333"/>
          <w:sz w:val="28"/>
          <w:szCs w:val="28"/>
        </w:rPr>
        <w:t>。其中，出口</w:t>
      </w:r>
      <w:r w:rsidRPr="007E4667">
        <w:rPr>
          <w:rFonts w:ascii="宋体" w:hAnsi="宋体"/>
          <w:color w:val="333333"/>
          <w:sz w:val="28"/>
          <w:szCs w:val="28"/>
        </w:rPr>
        <w:t>153318</w:t>
      </w:r>
      <w:r w:rsidRPr="007E4667">
        <w:rPr>
          <w:rFonts w:ascii="宋体" w:hAnsi="宋体" w:hint="eastAsia"/>
          <w:color w:val="333333"/>
          <w:sz w:val="28"/>
          <w:szCs w:val="28"/>
        </w:rPr>
        <w:t>亿元，增长</w:t>
      </w:r>
      <w:r w:rsidRPr="007E4667">
        <w:rPr>
          <w:rFonts w:ascii="宋体" w:hAnsi="宋体"/>
          <w:color w:val="333333"/>
          <w:sz w:val="28"/>
          <w:szCs w:val="28"/>
        </w:rPr>
        <w:t>10.8%</w:t>
      </w:r>
      <w:r w:rsidRPr="007E4667">
        <w:rPr>
          <w:rFonts w:ascii="宋体" w:hAnsi="宋体" w:hint="eastAsia"/>
          <w:color w:val="333333"/>
          <w:sz w:val="28"/>
          <w:szCs w:val="28"/>
        </w:rPr>
        <w:t>；进口</w:t>
      </w:r>
      <w:r w:rsidRPr="007E4667">
        <w:rPr>
          <w:rFonts w:ascii="宋体" w:hAnsi="宋体"/>
          <w:color w:val="333333"/>
          <w:sz w:val="28"/>
          <w:szCs w:val="28"/>
        </w:rPr>
        <w:t>124603</w:t>
      </w:r>
      <w:r w:rsidRPr="007E4667">
        <w:rPr>
          <w:rFonts w:ascii="宋体" w:hAnsi="宋体" w:hint="eastAsia"/>
          <w:color w:val="333333"/>
          <w:sz w:val="28"/>
          <w:szCs w:val="28"/>
        </w:rPr>
        <w:t>亿元，增长</w:t>
      </w:r>
      <w:r w:rsidRPr="007E4667">
        <w:rPr>
          <w:rFonts w:ascii="宋体" w:hAnsi="宋体"/>
          <w:color w:val="333333"/>
          <w:sz w:val="28"/>
          <w:szCs w:val="28"/>
        </w:rPr>
        <w:t>18.7%</w:t>
      </w:r>
      <w:r w:rsidRPr="007E4667">
        <w:rPr>
          <w:rFonts w:ascii="宋体" w:hAnsi="宋体" w:hint="eastAsia"/>
          <w:color w:val="333333"/>
          <w:sz w:val="28"/>
          <w:szCs w:val="28"/>
        </w:rPr>
        <w:t>。进出口相抵，顺差</w:t>
      </w:r>
      <w:r w:rsidRPr="007E4667">
        <w:rPr>
          <w:rFonts w:ascii="宋体" w:hAnsi="宋体"/>
          <w:color w:val="333333"/>
          <w:sz w:val="28"/>
          <w:szCs w:val="28"/>
        </w:rPr>
        <w:t>28716</w:t>
      </w:r>
      <w:r w:rsidRPr="007E4667">
        <w:rPr>
          <w:rFonts w:ascii="宋体" w:hAnsi="宋体" w:hint="eastAsia"/>
          <w:color w:val="333333"/>
          <w:sz w:val="28"/>
          <w:szCs w:val="28"/>
        </w:rPr>
        <w:t>亿元。一般贸易进出口增长</w:t>
      </w:r>
      <w:r w:rsidRPr="007E4667">
        <w:rPr>
          <w:rFonts w:ascii="宋体" w:hAnsi="宋体"/>
          <w:color w:val="333333"/>
          <w:sz w:val="28"/>
          <w:szCs w:val="28"/>
        </w:rPr>
        <w:t>16.8%</w:t>
      </w:r>
      <w:r w:rsidRPr="007E4667">
        <w:rPr>
          <w:rFonts w:ascii="宋体" w:hAnsi="宋体" w:hint="eastAsia"/>
          <w:color w:val="333333"/>
          <w:sz w:val="28"/>
          <w:szCs w:val="28"/>
        </w:rPr>
        <w:t>，占进出口总值的比重为</w:t>
      </w:r>
      <w:r w:rsidRPr="007E4667">
        <w:rPr>
          <w:rFonts w:ascii="宋体" w:hAnsi="宋体"/>
          <w:color w:val="333333"/>
          <w:sz w:val="28"/>
          <w:szCs w:val="28"/>
        </w:rPr>
        <w:t>56.4%</w:t>
      </w:r>
      <w:r w:rsidRPr="007E4667">
        <w:rPr>
          <w:rFonts w:ascii="宋体" w:hAnsi="宋体" w:hint="eastAsia"/>
          <w:color w:val="333333"/>
          <w:sz w:val="28"/>
          <w:szCs w:val="28"/>
        </w:rPr>
        <w:t>，比上年提高</w:t>
      </w:r>
      <w:r w:rsidRPr="007E4667">
        <w:rPr>
          <w:rFonts w:ascii="宋体" w:hAnsi="宋体"/>
          <w:color w:val="333333"/>
          <w:sz w:val="28"/>
          <w:szCs w:val="28"/>
        </w:rPr>
        <w:t>1.3</w:t>
      </w:r>
      <w:r w:rsidRPr="007E4667">
        <w:rPr>
          <w:rFonts w:ascii="宋体" w:hAnsi="宋体" w:hint="eastAsia"/>
          <w:color w:val="333333"/>
          <w:sz w:val="28"/>
          <w:szCs w:val="28"/>
        </w:rPr>
        <w:t>个百分点。机电产品出口增长</w:t>
      </w:r>
      <w:r w:rsidRPr="007E4667">
        <w:rPr>
          <w:rFonts w:ascii="宋体" w:hAnsi="宋体"/>
          <w:color w:val="333333"/>
          <w:sz w:val="28"/>
          <w:szCs w:val="28"/>
        </w:rPr>
        <w:t>12.1%</w:t>
      </w:r>
      <w:r w:rsidRPr="007E4667">
        <w:rPr>
          <w:rFonts w:ascii="宋体" w:hAnsi="宋体" w:hint="eastAsia"/>
          <w:color w:val="333333"/>
          <w:sz w:val="28"/>
          <w:szCs w:val="28"/>
        </w:rPr>
        <w:t>，占出口总额的</w:t>
      </w:r>
      <w:r w:rsidRPr="007E4667">
        <w:rPr>
          <w:rFonts w:ascii="宋体" w:hAnsi="宋体"/>
          <w:color w:val="333333"/>
          <w:sz w:val="28"/>
          <w:szCs w:val="28"/>
        </w:rPr>
        <w:t>58.4%</w:t>
      </w:r>
      <w:r w:rsidRPr="007E4667">
        <w:rPr>
          <w:rFonts w:ascii="宋体" w:hAnsi="宋体" w:hint="eastAsia"/>
          <w:color w:val="333333"/>
          <w:sz w:val="28"/>
          <w:szCs w:val="28"/>
        </w:rPr>
        <w:t>，比上年提高</w:t>
      </w:r>
      <w:r w:rsidRPr="007E4667">
        <w:rPr>
          <w:rFonts w:ascii="宋体" w:hAnsi="宋体"/>
          <w:color w:val="333333"/>
          <w:sz w:val="28"/>
          <w:szCs w:val="28"/>
        </w:rPr>
        <w:t>0.7</w:t>
      </w:r>
      <w:r w:rsidRPr="007E4667">
        <w:rPr>
          <w:rFonts w:ascii="宋体" w:hAnsi="宋体" w:hint="eastAsia"/>
          <w:color w:val="333333"/>
          <w:sz w:val="28"/>
          <w:szCs w:val="28"/>
        </w:rPr>
        <w:t>个百分点。</w:t>
      </w:r>
    </w:p>
    <w:p w:rsidR="00AE60BB" w:rsidRPr="007E4667" w:rsidRDefault="00AE60BB" w:rsidP="00AE60BB">
      <w:pPr>
        <w:ind w:firstLineChars="200" w:firstLine="560"/>
        <w:rPr>
          <w:rFonts w:ascii="宋体" w:hAnsi="宋体"/>
          <w:sz w:val="28"/>
          <w:szCs w:val="28"/>
        </w:rPr>
      </w:pPr>
      <w:r w:rsidRPr="007E4667">
        <w:rPr>
          <w:rFonts w:ascii="宋体" w:hAnsi="宋体"/>
          <w:sz w:val="28"/>
          <w:szCs w:val="28"/>
        </w:rPr>
        <w:t>1-11月，全国新设外商投资企业30185家，实际吸收外资8036.2亿元人民币（折1199.1亿美元，未含银行、证券、保险领域数据），同比分别增长26.5%和9.8%。</w:t>
      </w:r>
    </w:p>
    <w:p w:rsidR="00AE60BB" w:rsidRPr="007E4667" w:rsidRDefault="00AE60BB" w:rsidP="00AE60BB">
      <w:pPr>
        <w:rPr>
          <w:rFonts w:ascii="宋体" w:hAnsi="宋体"/>
          <w:sz w:val="28"/>
          <w:szCs w:val="28"/>
        </w:rPr>
      </w:pPr>
      <w:r w:rsidRPr="007E4667">
        <w:rPr>
          <w:noProof/>
          <w:sz w:val="28"/>
          <w:szCs w:val="28"/>
        </w:rPr>
        <w:drawing>
          <wp:inline distT="0" distB="0" distL="0" distR="0" wp14:anchorId="265C9CD6" wp14:editId="49F976D6">
            <wp:extent cx="5274310" cy="2467155"/>
            <wp:effectExtent l="0" t="0" r="2540" b="9525"/>
            <wp:docPr id="20" name="图表 20">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FA19C4-9686-4B06-826B-624B4DA2CB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0BB" w:rsidRPr="007E4667" w:rsidRDefault="00AE60BB" w:rsidP="00AE60BB">
      <w:pPr>
        <w:spacing w:line="360" w:lineRule="auto"/>
        <w:rPr>
          <w:rFonts w:ascii="宋体"/>
          <w:b/>
          <w:sz w:val="28"/>
          <w:szCs w:val="28"/>
        </w:rPr>
      </w:pPr>
      <w:r w:rsidRPr="007E4667">
        <w:rPr>
          <w:rFonts w:ascii="宋体" w:hAnsi="宋体"/>
          <w:b/>
          <w:sz w:val="28"/>
          <w:szCs w:val="28"/>
        </w:rPr>
        <w:t>3.</w:t>
      </w:r>
      <w:r>
        <w:rPr>
          <w:rFonts w:ascii="宋体" w:hAnsi="宋体" w:hint="eastAsia"/>
          <w:b/>
          <w:sz w:val="28"/>
          <w:szCs w:val="28"/>
        </w:rPr>
        <w:t xml:space="preserve">一般预算收入增长快于GDP  </w:t>
      </w:r>
      <w:r w:rsidRPr="007E4667">
        <w:rPr>
          <w:rFonts w:ascii="宋体" w:hAnsi="宋体" w:hint="eastAsia"/>
          <w:b/>
          <w:sz w:val="28"/>
          <w:szCs w:val="28"/>
        </w:rPr>
        <w:t>政府性基金收支增长</w:t>
      </w:r>
      <w:r>
        <w:rPr>
          <w:rFonts w:ascii="宋体" w:hAnsi="宋体" w:hint="eastAsia"/>
          <w:b/>
          <w:sz w:val="28"/>
          <w:szCs w:val="28"/>
        </w:rPr>
        <w:t xml:space="preserve">超常 </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cs="Arial"/>
          <w:sz w:val="28"/>
          <w:szCs w:val="28"/>
        </w:rPr>
      </w:pPr>
      <w:r w:rsidRPr="007E4667">
        <w:rPr>
          <w:rFonts w:ascii="宋体" w:hAnsi="宋体" w:cs="Arial"/>
          <w:sz w:val="28"/>
          <w:szCs w:val="28"/>
        </w:rPr>
        <w:t>1-11月累计，全国一般公共预算收入161748亿元，同比增长8.4%。其中，中央一般公共预算收入77390亿元，同比增长8.1%；地方一般公共预算本级收入84358亿元，同比增长8.7%。全国一般公共预</w:t>
      </w:r>
      <w:r w:rsidRPr="007E4667">
        <w:rPr>
          <w:rFonts w:ascii="宋体" w:hAnsi="宋体" w:cs="Arial"/>
          <w:sz w:val="28"/>
          <w:szCs w:val="28"/>
        </w:rPr>
        <w:lastRenderedPageBreak/>
        <w:t>算收入中的税收收入136072亿元，同比增长11.2%；非税收入25676亿元，同比下降4.5%。</w:t>
      </w:r>
    </w:p>
    <w:p w:rsidR="00AE60BB" w:rsidRPr="007E4667" w:rsidRDefault="00AE60BB" w:rsidP="00AE60BB">
      <w:pPr>
        <w:ind w:firstLineChars="200" w:firstLine="560"/>
        <w:rPr>
          <w:rFonts w:ascii="宋体" w:hAnsi="宋体" w:cs="Arial"/>
          <w:sz w:val="28"/>
          <w:szCs w:val="28"/>
        </w:rPr>
      </w:pPr>
      <w:r w:rsidRPr="007E4667">
        <w:rPr>
          <w:rFonts w:ascii="宋体" w:hAnsi="宋体" w:cs="Arial"/>
          <w:sz w:val="28"/>
          <w:szCs w:val="28"/>
        </w:rPr>
        <w:t>1-11月累计，全国一般公共预算支出179560亿元，同比增长7.8%。其中，中央一般公共预算本级支出25670亿元，同比增长7.1%；地方一般公共预算支出153890亿元，同比增长7.9%。</w:t>
      </w:r>
    </w:p>
    <w:p w:rsidR="00AE60BB" w:rsidRPr="007E4667" w:rsidRDefault="00AE60BB" w:rsidP="00AE60BB">
      <w:pPr>
        <w:ind w:firstLineChars="200" w:firstLine="560"/>
        <w:rPr>
          <w:rFonts w:ascii="宋体" w:hAnsi="宋体" w:cs="Arial"/>
          <w:sz w:val="28"/>
          <w:szCs w:val="28"/>
        </w:rPr>
      </w:pPr>
      <w:r w:rsidRPr="007E4667">
        <w:rPr>
          <w:rFonts w:ascii="宋体" w:hAnsi="宋体" w:cs="Arial"/>
          <w:sz w:val="28"/>
          <w:szCs w:val="28"/>
        </w:rPr>
        <w:t>1-11月累计，全国政府性基金预算收入49307亿元，同比增长30.1%。</w:t>
      </w:r>
      <w:r>
        <w:rPr>
          <w:rFonts w:ascii="宋体" w:hAnsi="宋体" w:cs="Arial" w:hint="eastAsia"/>
          <w:sz w:val="28"/>
          <w:szCs w:val="28"/>
        </w:rPr>
        <w:t>其中</w:t>
      </w:r>
      <w:r w:rsidRPr="007E4667">
        <w:rPr>
          <w:rFonts w:ascii="宋体" w:hAnsi="宋体" w:cs="Arial"/>
          <w:sz w:val="28"/>
          <w:szCs w:val="28"/>
        </w:rPr>
        <w:t>，中央政府性基金预算收入3457亿元，同比增长4.9%；地方政府性基金预算本级收入45850亿元，同比增长32.5%，其中</w:t>
      </w:r>
      <w:r>
        <w:rPr>
          <w:rFonts w:ascii="宋体" w:hAnsi="宋体" w:cs="Arial" w:hint="eastAsia"/>
          <w:sz w:val="28"/>
          <w:szCs w:val="28"/>
        </w:rPr>
        <w:t>，</w:t>
      </w:r>
      <w:r w:rsidRPr="007E4667">
        <w:rPr>
          <w:rFonts w:ascii="宋体" w:hAnsi="宋体" w:cs="Arial"/>
          <w:sz w:val="28"/>
          <w:szCs w:val="28"/>
        </w:rPr>
        <w:t>国有土地使用权出让收入41390亿元，同比增长35.3%。</w:t>
      </w:r>
    </w:p>
    <w:p w:rsidR="00AE60BB" w:rsidRPr="007E4667" w:rsidRDefault="00AE60BB" w:rsidP="00AE60BB">
      <w:pPr>
        <w:ind w:firstLineChars="200" w:firstLine="560"/>
        <w:rPr>
          <w:rFonts w:ascii="宋体" w:hAnsi="宋体" w:cs="Arial"/>
          <w:sz w:val="28"/>
          <w:szCs w:val="28"/>
        </w:rPr>
      </w:pPr>
      <w:r w:rsidRPr="007E4667">
        <w:rPr>
          <w:rFonts w:ascii="宋体" w:hAnsi="宋体" w:cs="Arial"/>
          <w:sz w:val="28"/>
          <w:szCs w:val="28"/>
        </w:rPr>
        <w:t>1-11月累计，全国政府性基金预算支出46188亿元，同比增长31.2%。</w:t>
      </w:r>
      <w:r>
        <w:rPr>
          <w:rFonts w:ascii="宋体" w:hAnsi="宋体" w:cs="Arial" w:hint="eastAsia"/>
          <w:sz w:val="28"/>
          <w:szCs w:val="28"/>
        </w:rPr>
        <w:t>其中</w:t>
      </w:r>
      <w:r w:rsidRPr="007E4667">
        <w:rPr>
          <w:rFonts w:ascii="宋体" w:hAnsi="宋体" w:cs="Arial"/>
          <w:sz w:val="28"/>
          <w:szCs w:val="28"/>
        </w:rPr>
        <w:t>，中央政府性基金预算本级支出2276亿元，同比增长24.3%；地方政府性基金预算相关支出43912亿元，同比增长31.6%，其中</w:t>
      </w:r>
      <w:r>
        <w:rPr>
          <w:rFonts w:ascii="宋体" w:hAnsi="宋体" w:cs="Arial" w:hint="eastAsia"/>
          <w:sz w:val="28"/>
          <w:szCs w:val="28"/>
        </w:rPr>
        <w:t>，</w:t>
      </w:r>
      <w:r w:rsidRPr="007E4667">
        <w:rPr>
          <w:rFonts w:ascii="宋体" w:hAnsi="宋体" w:cs="Arial"/>
          <w:sz w:val="28"/>
          <w:szCs w:val="28"/>
        </w:rPr>
        <w:t>国有土地使用权出让收入相关支出39168亿元，同比增长33.6%。</w:t>
      </w:r>
    </w:p>
    <w:p w:rsidR="00AE60BB" w:rsidRPr="007E4667" w:rsidRDefault="00AE60BB" w:rsidP="00AE60BB">
      <w:pPr>
        <w:rPr>
          <w:rFonts w:ascii="宋体" w:hAnsi="宋体"/>
          <w:sz w:val="28"/>
          <w:szCs w:val="28"/>
        </w:rPr>
      </w:pPr>
    </w:p>
    <w:p w:rsidR="00AE60BB" w:rsidRPr="007E4667" w:rsidRDefault="00AE60BB" w:rsidP="00AE60BB">
      <w:pPr>
        <w:spacing w:line="360" w:lineRule="auto"/>
        <w:rPr>
          <w:rFonts w:ascii="宋体"/>
          <w:b/>
          <w:sz w:val="28"/>
          <w:szCs w:val="28"/>
        </w:rPr>
      </w:pPr>
      <w:r w:rsidRPr="007E4667">
        <w:rPr>
          <w:rFonts w:ascii="宋体" w:hAnsi="宋体"/>
          <w:b/>
          <w:sz w:val="28"/>
          <w:szCs w:val="28"/>
        </w:rPr>
        <w:t>4.</w:t>
      </w:r>
      <w:r w:rsidRPr="007E4667">
        <w:rPr>
          <w:rFonts w:ascii="宋体" w:hAnsi="宋体" w:hint="eastAsia"/>
          <w:b/>
          <w:sz w:val="28"/>
          <w:szCs w:val="28"/>
        </w:rPr>
        <w:t>货币供应量增速</w:t>
      </w:r>
      <w:r>
        <w:rPr>
          <w:rFonts w:ascii="宋体" w:hAnsi="宋体" w:hint="eastAsia"/>
          <w:b/>
          <w:sz w:val="28"/>
          <w:szCs w:val="28"/>
        </w:rPr>
        <w:t>趋</w:t>
      </w:r>
      <w:r w:rsidRPr="007E4667">
        <w:rPr>
          <w:rFonts w:ascii="宋体" w:hAnsi="宋体" w:hint="eastAsia"/>
          <w:b/>
          <w:sz w:val="28"/>
          <w:szCs w:val="28"/>
        </w:rPr>
        <w:t>缓</w:t>
      </w:r>
      <w:r>
        <w:rPr>
          <w:rFonts w:ascii="宋体" w:hAnsi="宋体" w:hint="eastAsia"/>
          <w:b/>
          <w:sz w:val="28"/>
          <w:szCs w:val="28"/>
        </w:rPr>
        <w:t xml:space="preserve">  贷款增长快于存款</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12月末，广义货币(M2)余额167.68</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元,同比增长8.2%，增速分别比上月末和上年同期低0.9个和3.1个百分点；狭义货币(M1)余额54.38</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元,同比增长11.8%，增速分别比上月末和上年同期低0.9个和9.6个百分点；流通中货币(M0)余额7.06</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元,同比增长3.4%。全年净投放现金2342亿元。</w:t>
      </w: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12月末，本外币贷款余额125.61</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元，同比增长12.1%。月</w:t>
      </w:r>
      <w:r w:rsidRPr="007E4667">
        <w:rPr>
          <w:rFonts w:ascii="宋体" w:hAnsi="宋体" w:hint="eastAsia"/>
          <w:sz w:val="28"/>
          <w:szCs w:val="28"/>
        </w:rPr>
        <w:lastRenderedPageBreak/>
        <w:t>末人民币贷款余额120.13</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元，同比增长12.7%，增速分别比上月末和上年同期低0.6个和0.8个百分点。全年人民币贷款增加13.53</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元，同比多增8782亿元。12月末，外币贷款余额8379亿美元，同比增长6.6%。</w:t>
      </w: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12月末，本外币存款余额169.27</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元，同比增长8.8%。月末人民币存款余额164.1</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元，同比增长9%，增速分别比上月末和上年同期低0.6个和2个百分点。全年人民币存款增加13.51</w:t>
      </w:r>
      <w:proofErr w:type="gramStart"/>
      <w:r w:rsidRPr="007E4667">
        <w:rPr>
          <w:rFonts w:ascii="宋体" w:hAnsi="宋体" w:hint="eastAsia"/>
          <w:sz w:val="28"/>
          <w:szCs w:val="28"/>
        </w:rPr>
        <w:t>万亿</w:t>
      </w:r>
      <w:proofErr w:type="gramEnd"/>
      <w:r w:rsidRPr="007E4667">
        <w:rPr>
          <w:rFonts w:ascii="宋体" w:hAnsi="宋体" w:hint="eastAsia"/>
          <w:sz w:val="28"/>
          <w:szCs w:val="28"/>
        </w:rPr>
        <w:t>元，同比少增1.36</w:t>
      </w:r>
      <w:proofErr w:type="gramStart"/>
      <w:r w:rsidRPr="007E4667">
        <w:rPr>
          <w:rFonts w:ascii="宋体" w:hAnsi="宋体" w:hint="eastAsia"/>
          <w:sz w:val="28"/>
          <w:szCs w:val="28"/>
        </w:rPr>
        <w:t>万亿</w:t>
      </w:r>
      <w:proofErr w:type="gramEnd"/>
      <w:r w:rsidRPr="007E4667">
        <w:rPr>
          <w:rFonts w:ascii="宋体" w:hAnsi="宋体" w:hint="eastAsia"/>
          <w:sz w:val="28"/>
          <w:szCs w:val="28"/>
        </w:rPr>
        <w:t>元。12月末，外币存款余额7910亿美元，同比增长11.1%。</w:t>
      </w:r>
    </w:p>
    <w:p w:rsidR="00AE60BB" w:rsidRPr="007E4667" w:rsidRDefault="00AE60BB" w:rsidP="00AE60BB">
      <w:pPr>
        <w:rPr>
          <w:rFonts w:ascii="宋体" w:hAnsi="宋体"/>
          <w:sz w:val="28"/>
          <w:szCs w:val="28"/>
        </w:rPr>
      </w:pPr>
    </w:p>
    <w:p w:rsidR="00AE60BB" w:rsidRPr="007E4667" w:rsidRDefault="00AE60BB" w:rsidP="00AE60BB">
      <w:pPr>
        <w:spacing w:line="360" w:lineRule="auto"/>
        <w:rPr>
          <w:rFonts w:ascii="宋体"/>
          <w:b/>
          <w:sz w:val="28"/>
          <w:szCs w:val="28"/>
        </w:rPr>
      </w:pPr>
      <w:r w:rsidRPr="007E4667">
        <w:rPr>
          <w:rFonts w:ascii="宋体" w:hAnsi="宋体"/>
          <w:b/>
          <w:sz w:val="28"/>
          <w:szCs w:val="28"/>
        </w:rPr>
        <w:t>5.</w:t>
      </w:r>
      <w:r>
        <w:rPr>
          <w:rFonts w:ascii="宋体" w:hAnsi="宋体" w:hint="eastAsia"/>
          <w:b/>
          <w:sz w:val="28"/>
          <w:szCs w:val="28"/>
        </w:rPr>
        <w:t xml:space="preserve">货币市场成交量下降  </w:t>
      </w:r>
      <w:r w:rsidRPr="007E4667">
        <w:rPr>
          <w:rFonts w:ascii="宋体" w:hAnsi="宋体" w:hint="eastAsia"/>
          <w:b/>
          <w:sz w:val="28"/>
          <w:szCs w:val="28"/>
        </w:rPr>
        <w:t>同业拆借利率</w:t>
      </w:r>
      <w:r>
        <w:rPr>
          <w:rFonts w:ascii="宋体" w:hAnsi="宋体" w:hint="eastAsia"/>
          <w:b/>
          <w:sz w:val="28"/>
          <w:szCs w:val="28"/>
        </w:rPr>
        <w:t>基本</w:t>
      </w:r>
      <w:r w:rsidRPr="007E4667">
        <w:rPr>
          <w:rFonts w:ascii="宋体" w:hAnsi="宋体" w:hint="eastAsia"/>
          <w:b/>
          <w:sz w:val="28"/>
          <w:szCs w:val="28"/>
        </w:rPr>
        <w:t>稳定</w:t>
      </w:r>
    </w:p>
    <w:p w:rsidR="00AE60BB" w:rsidRPr="007E4667" w:rsidRDefault="00AE60BB" w:rsidP="00AE60BB">
      <w:pPr>
        <w:rPr>
          <w:rFonts w:ascii="宋体" w:hAnsi="宋体"/>
          <w:sz w:val="28"/>
          <w:szCs w:val="28"/>
        </w:rPr>
      </w:pP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2017年银行间人民币市场以拆借、现券和回购方式合计成交798.18</w:t>
      </w:r>
      <w:proofErr w:type="gramStart"/>
      <w:r w:rsidRPr="007E4667">
        <w:rPr>
          <w:rFonts w:ascii="宋体" w:hAnsi="宋体" w:hint="eastAsia"/>
          <w:sz w:val="28"/>
          <w:szCs w:val="28"/>
        </w:rPr>
        <w:t>万亿</w:t>
      </w:r>
      <w:proofErr w:type="gramEnd"/>
      <w:r w:rsidRPr="007E4667">
        <w:rPr>
          <w:rFonts w:ascii="宋体" w:hAnsi="宋体" w:hint="eastAsia"/>
          <w:sz w:val="28"/>
          <w:szCs w:val="28"/>
        </w:rPr>
        <w:t>元，日均成交3.18</w:t>
      </w:r>
      <w:proofErr w:type="gramStart"/>
      <w:r w:rsidRPr="007E4667">
        <w:rPr>
          <w:rFonts w:ascii="宋体" w:hAnsi="宋体" w:hint="eastAsia"/>
          <w:sz w:val="28"/>
          <w:szCs w:val="28"/>
        </w:rPr>
        <w:t>万亿</w:t>
      </w:r>
      <w:proofErr w:type="gramEnd"/>
      <w:r w:rsidRPr="007E4667">
        <w:rPr>
          <w:rFonts w:ascii="宋体" w:hAnsi="宋体" w:hint="eastAsia"/>
          <w:sz w:val="28"/>
          <w:szCs w:val="28"/>
        </w:rPr>
        <w:t>元，日均成交比上年下降3.2%。其中，同业拆借日均成交同比下降17.7%，现券日均成交同比下降19.1%，质押式回购日均成交同比上升3.5%。</w:t>
      </w:r>
    </w:p>
    <w:p w:rsidR="00AE60BB" w:rsidRPr="007E4667" w:rsidRDefault="00AE60BB" w:rsidP="00AE60BB">
      <w:pPr>
        <w:ind w:firstLineChars="200" w:firstLine="560"/>
        <w:rPr>
          <w:rFonts w:ascii="宋体" w:hAnsi="宋体"/>
          <w:sz w:val="28"/>
          <w:szCs w:val="28"/>
        </w:rPr>
      </w:pPr>
      <w:r w:rsidRPr="007E4667">
        <w:rPr>
          <w:rFonts w:ascii="宋体" w:hAnsi="宋体" w:hint="eastAsia"/>
          <w:sz w:val="28"/>
          <w:szCs w:val="28"/>
        </w:rPr>
        <w:t>12月份同业拆借加权平均利率为2.91%，比上月低0.01个百分点，比上年同期高0.47个百分点；质押式回购加权平均利率为3.11%，分别比上月和上年同期高0.11个和0.55个百分点。</w:t>
      </w:r>
    </w:p>
    <w:p w:rsidR="00AE60BB" w:rsidRPr="007E4667" w:rsidRDefault="00AE60BB" w:rsidP="00AE60BB">
      <w:pPr>
        <w:rPr>
          <w:rFonts w:ascii="宋体" w:hAnsi="宋体"/>
          <w:sz w:val="28"/>
          <w:szCs w:val="28"/>
        </w:rPr>
      </w:pPr>
    </w:p>
    <w:p w:rsidR="00AE60BB" w:rsidRDefault="00AE60BB" w:rsidP="00AE60BB">
      <w:pPr>
        <w:spacing w:line="360" w:lineRule="auto"/>
        <w:rPr>
          <w:rFonts w:ascii="宋体" w:hAnsi="宋体"/>
          <w:b/>
          <w:sz w:val="28"/>
          <w:szCs w:val="28"/>
        </w:rPr>
      </w:pPr>
      <w:r w:rsidRPr="007E4667">
        <w:rPr>
          <w:rFonts w:ascii="宋体" w:hAnsi="宋体" w:hint="eastAsia"/>
          <w:b/>
          <w:sz w:val="28"/>
          <w:szCs w:val="28"/>
        </w:rPr>
        <w:t>6.</w:t>
      </w:r>
      <w:r>
        <w:rPr>
          <w:rFonts w:ascii="宋体" w:hAnsi="宋体" w:hint="eastAsia"/>
          <w:b/>
          <w:sz w:val="28"/>
          <w:szCs w:val="28"/>
        </w:rPr>
        <w:t>A</w:t>
      </w:r>
      <w:r w:rsidRPr="007E4667">
        <w:rPr>
          <w:rFonts w:ascii="宋体" w:hAnsi="宋体" w:hint="eastAsia"/>
          <w:b/>
          <w:sz w:val="28"/>
          <w:szCs w:val="28"/>
        </w:rPr>
        <w:t>股</w:t>
      </w:r>
      <w:r>
        <w:rPr>
          <w:rFonts w:ascii="宋体" w:hAnsi="宋体" w:hint="eastAsia"/>
          <w:b/>
          <w:sz w:val="28"/>
          <w:szCs w:val="28"/>
        </w:rPr>
        <w:t>整体振荡缓慢上扬  涨幅落后于其他股市</w:t>
      </w:r>
    </w:p>
    <w:p w:rsidR="00AE60BB" w:rsidRPr="00463DC2" w:rsidRDefault="00AE60BB" w:rsidP="00AE60BB">
      <w:pPr>
        <w:spacing w:line="360" w:lineRule="auto"/>
        <w:rPr>
          <w:rFonts w:ascii="宋体" w:hAnsi="宋体"/>
          <w:b/>
          <w:sz w:val="28"/>
          <w:szCs w:val="28"/>
        </w:rPr>
      </w:pPr>
    </w:p>
    <w:p w:rsidR="00AE60BB" w:rsidRPr="007E4667" w:rsidRDefault="00AE60BB" w:rsidP="00AE60BB">
      <w:pPr>
        <w:spacing w:line="360" w:lineRule="auto"/>
        <w:ind w:firstLineChars="200" w:firstLine="560"/>
        <w:rPr>
          <w:rFonts w:ascii="宋体" w:hAnsi="宋体"/>
          <w:sz w:val="28"/>
          <w:szCs w:val="28"/>
        </w:rPr>
      </w:pPr>
      <w:r w:rsidRPr="007E4667">
        <w:rPr>
          <w:rFonts w:ascii="宋体" w:hAnsi="宋体" w:hint="eastAsia"/>
          <w:sz w:val="28"/>
          <w:szCs w:val="28"/>
        </w:rPr>
        <w:lastRenderedPageBreak/>
        <w:t>2</w:t>
      </w:r>
      <w:r w:rsidRPr="007E4667">
        <w:rPr>
          <w:rFonts w:ascii="宋体" w:hAnsi="宋体"/>
          <w:sz w:val="28"/>
          <w:szCs w:val="28"/>
        </w:rPr>
        <w:t>017</w:t>
      </w:r>
      <w:r w:rsidRPr="007E4667">
        <w:rPr>
          <w:rFonts w:ascii="宋体" w:hAnsi="宋体" w:hint="eastAsia"/>
          <w:sz w:val="28"/>
          <w:szCs w:val="28"/>
        </w:rPr>
        <w:t>年A股整体呈缓慢振荡上扬趋势。上证综指年初3</w:t>
      </w:r>
      <w:r w:rsidRPr="007E4667">
        <w:rPr>
          <w:rFonts w:ascii="宋体" w:hAnsi="宋体"/>
          <w:sz w:val="28"/>
          <w:szCs w:val="28"/>
        </w:rPr>
        <w:t>105</w:t>
      </w:r>
      <w:r w:rsidRPr="007E4667">
        <w:rPr>
          <w:rFonts w:ascii="宋体" w:hAnsi="宋体" w:hint="eastAsia"/>
          <w:sz w:val="28"/>
          <w:szCs w:val="28"/>
        </w:rPr>
        <w:t>点开盘，年末收盘3</w:t>
      </w:r>
      <w:r w:rsidRPr="007E4667">
        <w:rPr>
          <w:rFonts w:ascii="宋体" w:hAnsi="宋体"/>
          <w:sz w:val="28"/>
          <w:szCs w:val="28"/>
        </w:rPr>
        <w:t>307</w:t>
      </w:r>
      <w:r w:rsidRPr="007E4667">
        <w:rPr>
          <w:rFonts w:ascii="宋体" w:hAnsi="宋体" w:hint="eastAsia"/>
          <w:sz w:val="28"/>
          <w:szCs w:val="28"/>
        </w:rPr>
        <w:t>点，年中低点为3</w:t>
      </w:r>
      <w:r w:rsidRPr="007E4667">
        <w:rPr>
          <w:rFonts w:ascii="宋体" w:hAnsi="宋体"/>
          <w:sz w:val="28"/>
          <w:szCs w:val="28"/>
        </w:rPr>
        <w:t>106</w:t>
      </w:r>
      <w:r w:rsidRPr="007E4667">
        <w:rPr>
          <w:rFonts w:ascii="宋体" w:hAnsi="宋体" w:hint="eastAsia"/>
          <w:sz w:val="28"/>
          <w:szCs w:val="28"/>
        </w:rPr>
        <w:t>点，年中高点为3</w:t>
      </w:r>
      <w:r w:rsidRPr="007E4667">
        <w:rPr>
          <w:rFonts w:ascii="宋体" w:hAnsi="宋体"/>
          <w:sz w:val="28"/>
          <w:szCs w:val="28"/>
        </w:rPr>
        <w:t>450</w:t>
      </w:r>
      <w:r w:rsidRPr="007E4667">
        <w:rPr>
          <w:rFonts w:ascii="宋体" w:hAnsi="宋体" w:hint="eastAsia"/>
          <w:sz w:val="28"/>
          <w:szCs w:val="28"/>
        </w:rPr>
        <w:t>点，全年上涨6</w:t>
      </w:r>
      <w:r w:rsidRPr="007E4667">
        <w:rPr>
          <w:rFonts w:ascii="宋体" w:hAnsi="宋体"/>
          <w:sz w:val="28"/>
          <w:szCs w:val="28"/>
        </w:rPr>
        <w:t>.23%</w:t>
      </w:r>
      <w:r w:rsidRPr="007E4667">
        <w:rPr>
          <w:rFonts w:ascii="宋体" w:hAnsi="宋体" w:hint="eastAsia"/>
          <w:sz w:val="28"/>
          <w:szCs w:val="28"/>
        </w:rPr>
        <w:t>。</w:t>
      </w:r>
      <w:r w:rsidRPr="007E4667">
        <w:rPr>
          <w:rFonts w:ascii="宋体" w:hAnsi="宋体" w:hint="eastAsia"/>
          <w:color w:val="222222"/>
          <w:sz w:val="28"/>
          <w:szCs w:val="28"/>
          <w:shd w:val="clear" w:color="auto" w:fill="FFFFFF"/>
        </w:rPr>
        <w:t>上证综指、沪深300、中小板指分别上涨6.56%，21.78%，16.73%，创业板指下跌10.67%。</w:t>
      </w:r>
    </w:p>
    <w:p w:rsidR="00AE60BB" w:rsidRPr="007E4667" w:rsidRDefault="00AE60BB" w:rsidP="00AE60BB">
      <w:pPr>
        <w:spacing w:line="360" w:lineRule="auto"/>
        <w:ind w:firstLineChars="200" w:firstLine="560"/>
        <w:rPr>
          <w:rFonts w:ascii="YaHei" w:hAnsi="YaHei" w:hint="eastAsia"/>
          <w:color w:val="333333"/>
          <w:sz w:val="28"/>
          <w:szCs w:val="28"/>
          <w:shd w:val="clear" w:color="auto" w:fill="FFFFFF"/>
        </w:rPr>
      </w:pPr>
      <w:r w:rsidRPr="007E4667">
        <w:rPr>
          <w:rFonts w:ascii="宋体" w:hAnsi="宋体"/>
          <w:color w:val="404040"/>
          <w:sz w:val="28"/>
          <w:szCs w:val="28"/>
          <w:shd w:val="clear" w:color="auto" w:fill="FFFFFF"/>
        </w:rPr>
        <w:t>2017年全球经济增长</w:t>
      </w:r>
      <w:r w:rsidRPr="007E4667">
        <w:rPr>
          <w:rFonts w:ascii="宋体" w:hAnsi="宋体" w:hint="eastAsia"/>
          <w:color w:val="404040"/>
          <w:sz w:val="28"/>
          <w:szCs w:val="28"/>
          <w:shd w:val="clear" w:color="auto" w:fill="FFFFFF"/>
        </w:rPr>
        <w:t>为</w:t>
      </w:r>
      <w:r w:rsidRPr="007E4667">
        <w:rPr>
          <w:rFonts w:ascii="宋体" w:hAnsi="宋体"/>
          <w:color w:val="404040"/>
          <w:sz w:val="28"/>
          <w:szCs w:val="28"/>
          <w:shd w:val="clear" w:color="auto" w:fill="FFFFFF"/>
        </w:rPr>
        <w:t>2011年以来</w:t>
      </w:r>
      <w:r w:rsidRPr="007E4667">
        <w:rPr>
          <w:rFonts w:ascii="宋体" w:hAnsi="宋体" w:hint="eastAsia"/>
          <w:color w:val="404040"/>
          <w:sz w:val="28"/>
          <w:szCs w:val="28"/>
          <w:shd w:val="clear" w:color="auto" w:fill="FFFFFF"/>
        </w:rPr>
        <w:t>的</w:t>
      </w:r>
      <w:r w:rsidRPr="007E4667">
        <w:rPr>
          <w:rFonts w:ascii="宋体" w:hAnsi="宋体"/>
          <w:color w:val="404040"/>
          <w:sz w:val="28"/>
          <w:szCs w:val="28"/>
          <w:shd w:val="clear" w:color="auto" w:fill="FFFFFF"/>
        </w:rPr>
        <w:t>最</w:t>
      </w:r>
      <w:r w:rsidRPr="007E4667">
        <w:rPr>
          <w:rFonts w:ascii="宋体" w:hAnsi="宋体" w:hint="eastAsia"/>
          <w:color w:val="404040"/>
          <w:sz w:val="28"/>
          <w:szCs w:val="28"/>
          <w:shd w:val="clear" w:color="auto" w:fill="FFFFFF"/>
        </w:rPr>
        <w:t>好水平</w:t>
      </w:r>
      <w:r w:rsidRPr="007E4667">
        <w:rPr>
          <w:rFonts w:ascii="宋体" w:hAnsi="宋体"/>
          <w:color w:val="404040"/>
          <w:sz w:val="28"/>
          <w:szCs w:val="28"/>
          <w:shd w:val="clear" w:color="auto" w:fill="FFFFFF"/>
        </w:rPr>
        <w:t>，绝大数股市都呈现出欣欣向荣的景象，历史新高不断被刷新</w:t>
      </w:r>
      <w:r w:rsidRPr="007E4667">
        <w:rPr>
          <w:rFonts w:ascii="宋体" w:hAnsi="宋体" w:hint="eastAsia"/>
          <w:color w:val="404040"/>
          <w:sz w:val="28"/>
          <w:szCs w:val="28"/>
          <w:shd w:val="clear" w:color="auto" w:fill="FFFFFF"/>
        </w:rPr>
        <w:t>。相比来看，</w:t>
      </w:r>
      <w:r w:rsidRPr="007E4667">
        <w:rPr>
          <w:rFonts w:ascii="宋体" w:hAnsi="宋体" w:hint="eastAsia"/>
          <w:color w:val="333333"/>
          <w:sz w:val="28"/>
          <w:szCs w:val="28"/>
          <w:shd w:val="clear" w:color="auto" w:fill="FFFFFF"/>
        </w:rPr>
        <w:t>中国股市涨幅落后。</w:t>
      </w:r>
      <w:r w:rsidRPr="007E4667">
        <w:rPr>
          <w:rFonts w:ascii="宋体" w:hAnsi="宋体"/>
          <w:color w:val="404040"/>
          <w:sz w:val="28"/>
          <w:szCs w:val="28"/>
          <w:shd w:val="clear" w:color="auto" w:fill="FFFFFF"/>
        </w:rPr>
        <w:t>美股市场继续延续已持续8年的牛市行情，</w:t>
      </w:r>
      <w:r w:rsidRPr="007E4667">
        <w:rPr>
          <w:rFonts w:ascii="宋体" w:hAnsi="宋体" w:hint="eastAsia"/>
          <w:color w:val="404040"/>
          <w:sz w:val="28"/>
          <w:szCs w:val="28"/>
          <w:shd w:val="clear" w:color="auto" w:fill="FFFFFF"/>
        </w:rPr>
        <w:t>道琼斯指数由2</w:t>
      </w:r>
      <w:r w:rsidRPr="007E4667">
        <w:rPr>
          <w:rFonts w:ascii="宋体" w:hAnsi="宋体"/>
          <w:color w:val="404040"/>
          <w:sz w:val="28"/>
          <w:szCs w:val="28"/>
          <w:shd w:val="clear" w:color="auto" w:fill="FFFFFF"/>
        </w:rPr>
        <w:t>009</w:t>
      </w:r>
      <w:r w:rsidRPr="007E4667">
        <w:rPr>
          <w:rFonts w:ascii="宋体" w:hAnsi="宋体" w:hint="eastAsia"/>
          <w:color w:val="404040"/>
          <w:sz w:val="28"/>
          <w:szCs w:val="28"/>
          <w:shd w:val="clear" w:color="auto" w:fill="FFFFFF"/>
        </w:rPr>
        <w:t>年的6</w:t>
      </w:r>
      <w:r w:rsidRPr="007E4667">
        <w:rPr>
          <w:rFonts w:ascii="宋体" w:hAnsi="宋体"/>
          <w:color w:val="404040"/>
          <w:sz w:val="28"/>
          <w:szCs w:val="28"/>
          <w:shd w:val="clear" w:color="auto" w:fill="FFFFFF"/>
        </w:rPr>
        <w:t>470</w:t>
      </w:r>
      <w:r w:rsidRPr="007E4667">
        <w:rPr>
          <w:rFonts w:ascii="宋体" w:hAnsi="宋体" w:hint="eastAsia"/>
          <w:color w:val="404040"/>
          <w:sz w:val="28"/>
          <w:szCs w:val="28"/>
          <w:shd w:val="clear" w:color="auto" w:fill="FFFFFF"/>
        </w:rPr>
        <w:t>涨至2</w:t>
      </w:r>
      <w:r w:rsidRPr="007E4667">
        <w:rPr>
          <w:rFonts w:ascii="宋体" w:hAnsi="宋体"/>
          <w:color w:val="404040"/>
          <w:sz w:val="28"/>
          <w:szCs w:val="28"/>
          <w:shd w:val="clear" w:color="auto" w:fill="FFFFFF"/>
        </w:rPr>
        <w:t>017</w:t>
      </w:r>
      <w:r w:rsidRPr="007E4667">
        <w:rPr>
          <w:rFonts w:ascii="宋体" w:hAnsi="宋体" w:hint="eastAsia"/>
          <w:color w:val="404040"/>
          <w:sz w:val="28"/>
          <w:szCs w:val="28"/>
          <w:shd w:val="clear" w:color="auto" w:fill="FFFFFF"/>
        </w:rPr>
        <w:t>年末的2</w:t>
      </w:r>
      <w:r w:rsidRPr="007E4667">
        <w:rPr>
          <w:rFonts w:ascii="宋体" w:hAnsi="宋体"/>
          <w:color w:val="404040"/>
          <w:sz w:val="28"/>
          <w:szCs w:val="28"/>
          <w:shd w:val="clear" w:color="auto" w:fill="FFFFFF"/>
        </w:rPr>
        <w:t>4850</w:t>
      </w:r>
      <w:r w:rsidRPr="007E4667">
        <w:rPr>
          <w:rFonts w:ascii="宋体" w:hAnsi="宋体" w:hint="eastAsia"/>
          <w:color w:val="404040"/>
          <w:sz w:val="28"/>
          <w:szCs w:val="28"/>
          <w:shd w:val="clear" w:color="auto" w:fill="FFFFFF"/>
        </w:rPr>
        <w:t>点，指数番了两番。纳斯达克指数由2</w:t>
      </w:r>
      <w:r w:rsidRPr="007E4667">
        <w:rPr>
          <w:rFonts w:ascii="宋体" w:hAnsi="宋体"/>
          <w:color w:val="404040"/>
          <w:sz w:val="28"/>
          <w:szCs w:val="28"/>
          <w:shd w:val="clear" w:color="auto" w:fill="FFFFFF"/>
        </w:rPr>
        <w:t>009</w:t>
      </w:r>
      <w:r w:rsidRPr="007E4667">
        <w:rPr>
          <w:rFonts w:ascii="宋体" w:hAnsi="宋体" w:hint="eastAsia"/>
          <w:color w:val="404040"/>
          <w:sz w:val="28"/>
          <w:szCs w:val="28"/>
          <w:shd w:val="clear" w:color="auto" w:fill="FFFFFF"/>
        </w:rPr>
        <w:t>年的1</w:t>
      </w:r>
      <w:r w:rsidRPr="007E4667">
        <w:rPr>
          <w:rFonts w:ascii="宋体" w:hAnsi="宋体"/>
          <w:color w:val="404040"/>
          <w:sz w:val="28"/>
          <w:szCs w:val="28"/>
          <w:shd w:val="clear" w:color="auto" w:fill="FFFFFF"/>
        </w:rPr>
        <w:t>265</w:t>
      </w:r>
      <w:r w:rsidRPr="007E4667">
        <w:rPr>
          <w:rFonts w:ascii="宋体" w:hAnsi="宋体" w:hint="eastAsia"/>
          <w:color w:val="404040"/>
          <w:sz w:val="28"/>
          <w:szCs w:val="28"/>
          <w:shd w:val="clear" w:color="auto" w:fill="FFFFFF"/>
        </w:rPr>
        <w:t>点涨至2</w:t>
      </w:r>
      <w:r w:rsidRPr="007E4667">
        <w:rPr>
          <w:rFonts w:ascii="宋体" w:hAnsi="宋体"/>
          <w:color w:val="404040"/>
          <w:sz w:val="28"/>
          <w:szCs w:val="28"/>
          <w:shd w:val="clear" w:color="auto" w:fill="FFFFFF"/>
        </w:rPr>
        <w:t>017</w:t>
      </w:r>
      <w:r w:rsidRPr="007E4667">
        <w:rPr>
          <w:rFonts w:ascii="宋体" w:hAnsi="宋体" w:hint="eastAsia"/>
          <w:color w:val="404040"/>
          <w:sz w:val="28"/>
          <w:szCs w:val="28"/>
          <w:shd w:val="clear" w:color="auto" w:fill="FFFFFF"/>
        </w:rPr>
        <w:t>年末6</w:t>
      </w:r>
      <w:r w:rsidRPr="007E4667">
        <w:rPr>
          <w:rFonts w:ascii="宋体" w:hAnsi="宋体"/>
          <w:color w:val="404040"/>
          <w:sz w:val="28"/>
          <w:szCs w:val="28"/>
          <w:shd w:val="clear" w:color="auto" w:fill="FFFFFF"/>
        </w:rPr>
        <w:t>904</w:t>
      </w:r>
      <w:r w:rsidRPr="007E4667">
        <w:rPr>
          <w:rFonts w:ascii="宋体" w:hAnsi="宋体" w:hint="eastAsia"/>
          <w:color w:val="404040"/>
          <w:sz w:val="28"/>
          <w:szCs w:val="28"/>
          <w:shd w:val="clear" w:color="auto" w:fill="FFFFFF"/>
        </w:rPr>
        <w:t>点，涨了近5倍。</w:t>
      </w:r>
      <w:r>
        <w:rPr>
          <w:rFonts w:ascii="宋体" w:hAnsi="宋体" w:hint="eastAsia"/>
          <w:color w:val="404040"/>
          <w:sz w:val="28"/>
          <w:szCs w:val="28"/>
          <w:shd w:val="clear" w:color="auto" w:fill="FFFFFF"/>
        </w:rPr>
        <w:t>全</w:t>
      </w:r>
      <w:r w:rsidRPr="007E4667">
        <w:rPr>
          <w:rFonts w:ascii="宋体" w:hAnsi="宋体" w:hint="eastAsia"/>
          <w:color w:val="404040"/>
          <w:sz w:val="28"/>
          <w:szCs w:val="28"/>
          <w:shd w:val="clear" w:color="auto" w:fill="FFFFFF"/>
        </w:rPr>
        <w:t>年道琼斯指数涨幅2</w:t>
      </w:r>
      <w:r w:rsidRPr="007E4667">
        <w:rPr>
          <w:rFonts w:ascii="宋体" w:hAnsi="宋体"/>
          <w:color w:val="404040"/>
          <w:sz w:val="28"/>
          <w:szCs w:val="28"/>
          <w:shd w:val="clear" w:color="auto" w:fill="FFFFFF"/>
        </w:rPr>
        <w:t>5.26%</w:t>
      </w:r>
      <w:r w:rsidRPr="007E4667">
        <w:rPr>
          <w:rFonts w:ascii="宋体" w:hAnsi="宋体" w:hint="eastAsia"/>
          <w:color w:val="404040"/>
          <w:sz w:val="28"/>
          <w:szCs w:val="28"/>
          <w:shd w:val="clear" w:color="auto" w:fill="FFFFFF"/>
        </w:rPr>
        <w:t>，纳斯达克涨幅2</w:t>
      </w:r>
      <w:r w:rsidRPr="007E4667">
        <w:rPr>
          <w:rFonts w:ascii="宋体" w:hAnsi="宋体"/>
          <w:color w:val="404040"/>
          <w:sz w:val="28"/>
          <w:szCs w:val="28"/>
          <w:shd w:val="clear" w:color="auto" w:fill="FFFFFF"/>
        </w:rPr>
        <w:t>9.3%</w:t>
      </w:r>
      <w:r w:rsidRPr="007E4667">
        <w:rPr>
          <w:rFonts w:ascii="宋体" w:hAnsi="宋体" w:hint="eastAsia"/>
          <w:color w:val="333333"/>
          <w:sz w:val="28"/>
          <w:szCs w:val="28"/>
          <w:shd w:val="clear" w:color="auto" w:fill="FFFFFF"/>
        </w:rPr>
        <w:t>。另外，其它主要股市表现也很好，</w:t>
      </w:r>
      <w:r w:rsidRPr="007E4667">
        <w:rPr>
          <w:rFonts w:ascii="宋体" w:hAnsi="宋体" w:hint="eastAsia"/>
          <w:color w:val="404040"/>
          <w:sz w:val="28"/>
          <w:szCs w:val="28"/>
          <w:shd w:val="clear" w:color="auto" w:fill="FFFFFF"/>
        </w:rPr>
        <w:t>恒生指数涨幅3</w:t>
      </w:r>
      <w:r w:rsidRPr="007E4667">
        <w:rPr>
          <w:rFonts w:ascii="宋体" w:hAnsi="宋体"/>
          <w:color w:val="404040"/>
          <w:sz w:val="28"/>
          <w:szCs w:val="28"/>
          <w:shd w:val="clear" w:color="auto" w:fill="FFFFFF"/>
        </w:rPr>
        <w:t>4.44%</w:t>
      </w:r>
      <w:r w:rsidRPr="007E4667">
        <w:rPr>
          <w:rFonts w:ascii="宋体" w:hAnsi="宋体" w:hint="eastAsia"/>
          <w:color w:val="404040"/>
          <w:sz w:val="28"/>
          <w:szCs w:val="28"/>
          <w:shd w:val="clear" w:color="auto" w:fill="FFFFFF"/>
        </w:rPr>
        <w:t>，日经2</w:t>
      </w:r>
      <w:r w:rsidRPr="007E4667">
        <w:rPr>
          <w:rFonts w:ascii="宋体" w:hAnsi="宋体"/>
          <w:color w:val="404040"/>
          <w:sz w:val="28"/>
          <w:szCs w:val="28"/>
          <w:shd w:val="clear" w:color="auto" w:fill="FFFFFF"/>
        </w:rPr>
        <w:t>25</w:t>
      </w:r>
      <w:r w:rsidRPr="007E4667">
        <w:rPr>
          <w:rFonts w:ascii="宋体" w:hAnsi="宋体" w:hint="eastAsia"/>
          <w:color w:val="404040"/>
          <w:sz w:val="28"/>
          <w:szCs w:val="28"/>
          <w:shd w:val="clear" w:color="auto" w:fill="FFFFFF"/>
        </w:rPr>
        <w:t>指数涨幅1</w:t>
      </w:r>
      <w:r w:rsidRPr="007E4667">
        <w:rPr>
          <w:rFonts w:ascii="宋体" w:hAnsi="宋体"/>
          <w:color w:val="404040"/>
          <w:sz w:val="28"/>
          <w:szCs w:val="28"/>
          <w:shd w:val="clear" w:color="auto" w:fill="FFFFFF"/>
        </w:rPr>
        <w:t>9.82%</w:t>
      </w:r>
      <w:r w:rsidRPr="007E4667">
        <w:rPr>
          <w:rFonts w:ascii="宋体" w:hAnsi="宋体" w:hint="eastAsia"/>
          <w:color w:val="404040"/>
          <w:sz w:val="28"/>
          <w:szCs w:val="28"/>
          <w:shd w:val="clear" w:color="auto" w:fill="FFFFFF"/>
        </w:rPr>
        <w:t>。2</w:t>
      </w:r>
      <w:r w:rsidRPr="007E4667">
        <w:rPr>
          <w:rFonts w:ascii="宋体" w:hAnsi="宋体"/>
          <w:color w:val="404040"/>
          <w:sz w:val="28"/>
          <w:szCs w:val="28"/>
          <w:shd w:val="clear" w:color="auto" w:fill="FFFFFF"/>
        </w:rPr>
        <w:t>017</w:t>
      </w:r>
      <w:r w:rsidRPr="007E4667">
        <w:rPr>
          <w:rFonts w:ascii="宋体" w:hAnsi="宋体" w:hint="eastAsia"/>
          <w:color w:val="404040"/>
          <w:sz w:val="28"/>
          <w:szCs w:val="28"/>
          <w:shd w:val="clear" w:color="auto" w:fill="FFFFFF"/>
        </w:rPr>
        <w:t>年，</w:t>
      </w:r>
      <w:r w:rsidRPr="007E4667">
        <w:rPr>
          <w:rFonts w:ascii="宋体" w:hAnsi="宋体"/>
          <w:color w:val="404040"/>
          <w:sz w:val="28"/>
          <w:szCs w:val="28"/>
          <w:shd w:val="clear" w:color="auto" w:fill="FFFFFF"/>
        </w:rPr>
        <w:t>新兴市场股市</w:t>
      </w:r>
      <w:r w:rsidRPr="007E4667">
        <w:rPr>
          <w:rFonts w:ascii="宋体" w:hAnsi="宋体" w:hint="eastAsia"/>
          <w:color w:val="404040"/>
          <w:sz w:val="28"/>
          <w:szCs w:val="28"/>
          <w:shd w:val="clear" w:color="auto" w:fill="FFFFFF"/>
        </w:rPr>
        <w:t>表现突出，</w:t>
      </w:r>
      <w:r w:rsidRPr="007E4667">
        <w:rPr>
          <w:rFonts w:ascii="宋体" w:hAnsi="宋体"/>
          <w:color w:val="404040"/>
          <w:sz w:val="28"/>
          <w:szCs w:val="28"/>
          <w:shd w:val="clear" w:color="auto" w:fill="FFFFFF"/>
        </w:rPr>
        <w:t>涨幅大幅领先发达国家，越南NHX30指数</w:t>
      </w:r>
      <w:r w:rsidRPr="007E4667">
        <w:rPr>
          <w:rFonts w:ascii="宋体" w:hAnsi="宋体" w:hint="eastAsia"/>
          <w:color w:val="404040"/>
          <w:sz w:val="28"/>
          <w:szCs w:val="28"/>
          <w:shd w:val="clear" w:color="auto" w:fill="FFFFFF"/>
        </w:rPr>
        <w:t>涨幅达</w:t>
      </w:r>
      <w:r w:rsidRPr="007E4667">
        <w:rPr>
          <w:rFonts w:ascii="宋体" w:hAnsi="宋体"/>
          <w:color w:val="404040"/>
          <w:sz w:val="28"/>
          <w:szCs w:val="28"/>
          <w:shd w:val="clear" w:color="auto" w:fill="FFFFFF"/>
        </w:rPr>
        <w:t>50.57%</w:t>
      </w:r>
      <w:r w:rsidRPr="007E4667">
        <w:rPr>
          <w:rFonts w:ascii="宋体" w:hAnsi="宋体" w:hint="eastAsia"/>
          <w:color w:val="404040"/>
          <w:sz w:val="28"/>
          <w:szCs w:val="28"/>
          <w:shd w:val="clear" w:color="auto" w:fill="FFFFFF"/>
        </w:rPr>
        <w:t>。</w:t>
      </w:r>
    </w:p>
    <w:p w:rsidR="00AE60BB" w:rsidRPr="007E4667" w:rsidRDefault="00AE60BB" w:rsidP="00AE60BB">
      <w:pPr>
        <w:rPr>
          <w:rFonts w:ascii="宋体" w:hAnsi="宋体"/>
          <w:sz w:val="28"/>
          <w:szCs w:val="28"/>
        </w:rPr>
      </w:pPr>
      <w:r w:rsidRPr="007E4667">
        <w:rPr>
          <w:noProof/>
          <w:sz w:val="28"/>
          <w:szCs w:val="28"/>
        </w:rPr>
        <w:drawing>
          <wp:inline distT="0" distB="0" distL="0" distR="0" wp14:anchorId="0250D952" wp14:editId="72ADCFA4">
            <wp:extent cx="5124450" cy="21526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124450" cy="2152650"/>
                    </a:xfrm>
                    <a:prstGeom prst="rect">
                      <a:avLst/>
                    </a:prstGeom>
                  </pic:spPr>
                </pic:pic>
              </a:graphicData>
            </a:graphic>
          </wp:inline>
        </w:drawing>
      </w:r>
    </w:p>
    <w:p w:rsidR="00AE60BB" w:rsidRPr="007E4667" w:rsidRDefault="00AE60BB" w:rsidP="00AE60BB">
      <w:pPr>
        <w:rPr>
          <w:rFonts w:ascii="宋体" w:hAnsi="宋体"/>
          <w:sz w:val="28"/>
          <w:szCs w:val="28"/>
        </w:rPr>
      </w:pPr>
    </w:p>
    <w:p w:rsidR="00AE60BB" w:rsidRPr="007E4667" w:rsidRDefault="00AE60BB" w:rsidP="00AE60BB">
      <w:pPr>
        <w:jc w:val="center"/>
        <w:rPr>
          <w:sz w:val="28"/>
          <w:szCs w:val="28"/>
        </w:rPr>
      </w:pPr>
      <w:r w:rsidRPr="007E4667">
        <w:rPr>
          <w:rFonts w:hint="eastAsia"/>
          <w:sz w:val="28"/>
          <w:szCs w:val="28"/>
        </w:rPr>
        <w:t>三，政策效应</w:t>
      </w:r>
    </w:p>
    <w:p w:rsidR="00AE60BB" w:rsidRPr="007E4667" w:rsidRDefault="00AE60BB" w:rsidP="00AE60BB">
      <w:pPr>
        <w:rPr>
          <w:sz w:val="28"/>
          <w:szCs w:val="28"/>
        </w:rPr>
      </w:pPr>
    </w:p>
    <w:p w:rsidR="00AE60BB" w:rsidRPr="007E4667" w:rsidRDefault="00AE60BB" w:rsidP="00AE60BB">
      <w:pPr>
        <w:pStyle w:val="a4"/>
        <w:numPr>
          <w:ilvl w:val="0"/>
          <w:numId w:val="4"/>
        </w:numPr>
        <w:ind w:firstLineChars="0"/>
        <w:rPr>
          <w:sz w:val="28"/>
          <w:szCs w:val="28"/>
        </w:rPr>
      </w:pPr>
      <w:r w:rsidRPr="007E4667">
        <w:rPr>
          <w:rFonts w:hint="eastAsia"/>
          <w:sz w:val="28"/>
          <w:szCs w:val="28"/>
        </w:rPr>
        <w:t>宏观经济总体观察</w:t>
      </w:r>
    </w:p>
    <w:p w:rsidR="00AE60BB" w:rsidRPr="007E4667" w:rsidRDefault="00AE60BB" w:rsidP="00AE60BB">
      <w:pPr>
        <w:rPr>
          <w:sz w:val="28"/>
          <w:szCs w:val="28"/>
        </w:rPr>
      </w:pPr>
    </w:p>
    <w:p w:rsidR="00AE60BB" w:rsidRPr="007E4667" w:rsidRDefault="00AE60BB" w:rsidP="00AE60BB">
      <w:pPr>
        <w:ind w:firstLine="540"/>
        <w:rPr>
          <w:sz w:val="28"/>
          <w:szCs w:val="28"/>
        </w:rPr>
      </w:pPr>
      <w:r w:rsidRPr="007E4667">
        <w:rPr>
          <w:rFonts w:hint="eastAsia"/>
          <w:sz w:val="28"/>
          <w:szCs w:val="28"/>
        </w:rPr>
        <w:t>2017</w:t>
      </w:r>
      <w:r w:rsidRPr="007E4667">
        <w:rPr>
          <w:rFonts w:hint="eastAsia"/>
          <w:sz w:val="28"/>
          <w:szCs w:val="28"/>
        </w:rPr>
        <w:t>年，中国经济总量突破</w:t>
      </w:r>
      <w:r w:rsidRPr="007E4667">
        <w:rPr>
          <w:rFonts w:hint="eastAsia"/>
          <w:sz w:val="28"/>
          <w:szCs w:val="28"/>
        </w:rPr>
        <w:t>80</w:t>
      </w:r>
      <w:proofErr w:type="gramStart"/>
      <w:r w:rsidRPr="007E4667">
        <w:rPr>
          <w:rFonts w:hint="eastAsia"/>
          <w:sz w:val="28"/>
          <w:szCs w:val="28"/>
        </w:rPr>
        <w:t>万亿</w:t>
      </w:r>
      <w:proofErr w:type="gramEnd"/>
      <w:r w:rsidRPr="007E4667">
        <w:rPr>
          <w:rFonts w:hint="eastAsia"/>
          <w:sz w:val="28"/>
          <w:szCs w:val="28"/>
        </w:rPr>
        <w:t>，达</w:t>
      </w:r>
      <w:r w:rsidRPr="007E4667">
        <w:rPr>
          <w:rFonts w:hint="eastAsia"/>
          <w:sz w:val="28"/>
          <w:szCs w:val="28"/>
        </w:rPr>
        <w:t>827122</w:t>
      </w:r>
      <w:r w:rsidRPr="007E4667">
        <w:rPr>
          <w:rFonts w:hint="eastAsia"/>
          <w:sz w:val="28"/>
          <w:szCs w:val="28"/>
        </w:rPr>
        <w:t>亿元，增长</w:t>
      </w:r>
      <w:r w:rsidRPr="007E4667">
        <w:rPr>
          <w:rFonts w:hint="eastAsia"/>
          <w:sz w:val="28"/>
          <w:szCs w:val="28"/>
        </w:rPr>
        <w:t>6.9%</w:t>
      </w:r>
      <w:r w:rsidRPr="007E4667">
        <w:rPr>
          <w:rFonts w:hint="eastAsia"/>
          <w:sz w:val="28"/>
          <w:szCs w:val="28"/>
        </w:rPr>
        <w:t>，较上年提高</w:t>
      </w:r>
      <w:r w:rsidRPr="007E4667">
        <w:rPr>
          <w:rFonts w:hint="eastAsia"/>
          <w:sz w:val="28"/>
          <w:szCs w:val="28"/>
        </w:rPr>
        <w:t>0.2</w:t>
      </w:r>
      <w:r w:rsidRPr="007E4667">
        <w:rPr>
          <w:rFonts w:hint="eastAsia"/>
          <w:sz w:val="28"/>
          <w:szCs w:val="28"/>
        </w:rPr>
        <w:t>个百分点，改变了自</w:t>
      </w:r>
      <w:r w:rsidRPr="007E4667">
        <w:rPr>
          <w:rFonts w:hint="eastAsia"/>
          <w:sz w:val="28"/>
          <w:szCs w:val="28"/>
        </w:rPr>
        <w:t>2011</w:t>
      </w:r>
      <w:r w:rsidRPr="007E4667">
        <w:rPr>
          <w:rFonts w:hint="eastAsia"/>
          <w:sz w:val="28"/>
          <w:szCs w:val="28"/>
        </w:rPr>
        <w:t>年以来的下行态势，首次出现回升</w:t>
      </w:r>
      <w:r>
        <w:rPr>
          <w:rFonts w:hint="eastAsia"/>
          <w:sz w:val="28"/>
          <w:szCs w:val="28"/>
        </w:rPr>
        <w:t>，对世界经济的贡献超过了</w:t>
      </w:r>
      <w:r>
        <w:rPr>
          <w:rFonts w:hint="eastAsia"/>
          <w:sz w:val="28"/>
          <w:szCs w:val="28"/>
        </w:rPr>
        <w:t>30%</w:t>
      </w:r>
      <w:r>
        <w:rPr>
          <w:rFonts w:hint="eastAsia"/>
          <w:sz w:val="28"/>
          <w:szCs w:val="28"/>
        </w:rPr>
        <w:t>，超过了人们的普遍预期</w:t>
      </w:r>
      <w:r w:rsidRPr="007E4667">
        <w:rPr>
          <w:rFonts w:hint="eastAsia"/>
          <w:sz w:val="28"/>
          <w:szCs w:val="28"/>
        </w:rPr>
        <w:t>。在国内外复杂的经济形势下，能够取得这样的成绩，确属不易，可喜可贺。前两个季度分别增长</w:t>
      </w:r>
      <w:r w:rsidRPr="007E4667">
        <w:rPr>
          <w:rFonts w:hint="eastAsia"/>
          <w:sz w:val="28"/>
          <w:szCs w:val="28"/>
        </w:rPr>
        <w:t>6.9%</w:t>
      </w:r>
      <w:r w:rsidRPr="007E4667">
        <w:rPr>
          <w:rFonts w:hint="eastAsia"/>
          <w:sz w:val="28"/>
          <w:szCs w:val="28"/>
        </w:rPr>
        <w:t>，后两个季度分别增长</w:t>
      </w:r>
      <w:r w:rsidRPr="007E4667">
        <w:rPr>
          <w:rFonts w:hint="eastAsia"/>
          <w:sz w:val="28"/>
          <w:szCs w:val="28"/>
        </w:rPr>
        <w:t>6.8%</w:t>
      </w:r>
      <w:r w:rsidRPr="007E4667">
        <w:rPr>
          <w:rFonts w:hint="eastAsia"/>
          <w:sz w:val="28"/>
          <w:szCs w:val="28"/>
        </w:rPr>
        <w:t>，平稳得几乎成一条直线，不能不引起人们的进一步思考，此属偶然巧合，还是必然的结果？从统计局长的报告发布和报刊的解读来看，当属后者，但对此并未给出全面有效的解释，基本上是一种报喜不报忧的</w:t>
      </w:r>
      <w:r>
        <w:rPr>
          <w:rFonts w:hint="eastAsia"/>
          <w:sz w:val="28"/>
          <w:szCs w:val="28"/>
        </w:rPr>
        <w:t>行事</w:t>
      </w:r>
      <w:r w:rsidRPr="007E4667">
        <w:rPr>
          <w:rFonts w:hint="eastAsia"/>
          <w:sz w:val="28"/>
          <w:szCs w:val="28"/>
        </w:rPr>
        <w:t>方式，降低了公信力和说服力。</w:t>
      </w:r>
    </w:p>
    <w:p w:rsidR="00AE60BB" w:rsidRPr="007E4667" w:rsidRDefault="00AE60BB" w:rsidP="00AE60BB">
      <w:pPr>
        <w:ind w:firstLine="540"/>
        <w:rPr>
          <w:sz w:val="28"/>
          <w:szCs w:val="28"/>
        </w:rPr>
      </w:pPr>
      <w:r w:rsidRPr="007E4667">
        <w:rPr>
          <w:rFonts w:hint="eastAsia"/>
          <w:sz w:val="28"/>
          <w:szCs w:val="28"/>
        </w:rPr>
        <w:t>支持经济回稳的主要因素有，一是最终消费支出比较稳定，社会消费品零售额增长</w:t>
      </w:r>
      <w:r w:rsidRPr="007E4667">
        <w:rPr>
          <w:rFonts w:hint="eastAsia"/>
          <w:sz w:val="28"/>
          <w:szCs w:val="28"/>
        </w:rPr>
        <w:t>10.2%</w:t>
      </w:r>
      <w:r w:rsidRPr="007E4667">
        <w:rPr>
          <w:rFonts w:hint="eastAsia"/>
          <w:sz w:val="28"/>
          <w:szCs w:val="28"/>
        </w:rPr>
        <w:t>，比上年回落</w:t>
      </w:r>
      <w:r w:rsidRPr="007E4667">
        <w:rPr>
          <w:rFonts w:hint="eastAsia"/>
          <w:sz w:val="28"/>
          <w:szCs w:val="28"/>
        </w:rPr>
        <w:t>0.2</w:t>
      </w:r>
      <w:r w:rsidRPr="007E4667">
        <w:rPr>
          <w:rFonts w:hint="eastAsia"/>
          <w:sz w:val="28"/>
          <w:szCs w:val="28"/>
        </w:rPr>
        <w:t>个百分点，对经济增长的贡献达</w:t>
      </w:r>
      <w:r w:rsidRPr="007E4667">
        <w:rPr>
          <w:rFonts w:hint="eastAsia"/>
          <w:sz w:val="28"/>
          <w:szCs w:val="28"/>
        </w:rPr>
        <w:t>58.8%</w:t>
      </w:r>
      <w:r w:rsidRPr="007E4667">
        <w:rPr>
          <w:rFonts w:hint="eastAsia"/>
          <w:sz w:val="28"/>
          <w:szCs w:val="28"/>
        </w:rPr>
        <w:t>，高于资本形成</w:t>
      </w:r>
      <w:r w:rsidRPr="007E4667">
        <w:rPr>
          <w:rFonts w:hint="eastAsia"/>
          <w:sz w:val="28"/>
          <w:szCs w:val="28"/>
        </w:rPr>
        <w:t>26.7</w:t>
      </w:r>
      <w:r w:rsidRPr="007E4667">
        <w:rPr>
          <w:rFonts w:hint="eastAsia"/>
          <w:sz w:val="28"/>
          <w:szCs w:val="28"/>
        </w:rPr>
        <w:t>个百分点。而且有居民可支配收入增长的支撑。居民可支配收入</w:t>
      </w:r>
      <w:r w:rsidRPr="007E4667">
        <w:rPr>
          <w:rFonts w:hint="eastAsia"/>
          <w:sz w:val="28"/>
          <w:szCs w:val="28"/>
        </w:rPr>
        <w:t>25974</w:t>
      </w:r>
      <w:r w:rsidRPr="007E4667">
        <w:rPr>
          <w:rFonts w:hint="eastAsia"/>
          <w:sz w:val="28"/>
          <w:szCs w:val="28"/>
        </w:rPr>
        <w:t>元，名义增长</w:t>
      </w:r>
      <w:r w:rsidRPr="007E4667">
        <w:rPr>
          <w:rFonts w:hint="eastAsia"/>
          <w:sz w:val="28"/>
          <w:szCs w:val="28"/>
        </w:rPr>
        <w:t>9%</w:t>
      </w:r>
      <w:r w:rsidRPr="007E4667">
        <w:rPr>
          <w:rFonts w:hint="eastAsia"/>
          <w:sz w:val="28"/>
          <w:szCs w:val="28"/>
        </w:rPr>
        <w:t>，实际增长</w:t>
      </w:r>
      <w:r w:rsidRPr="007E4667">
        <w:rPr>
          <w:rFonts w:hint="eastAsia"/>
          <w:sz w:val="28"/>
          <w:szCs w:val="28"/>
        </w:rPr>
        <w:t>7.3%</w:t>
      </w:r>
      <w:r w:rsidRPr="007E4667">
        <w:rPr>
          <w:rFonts w:hint="eastAsia"/>
          <w:sz w:val="28"/>
          <w:szCs w:val="28"/>
        </w:rPr>
        <w:t>，比上年提高</w:t>
      </w:r>
      <w:r w:rsidRPr="007E4667">
        <w:rPr>
          <w:rFonts w:hint="eastAsia"/>
          <w:sz w:val="28"/>
          <w:szCs w:val="28"/>
        </w:rPr>
        <w:t>1</w:t>
      </w:r>
      <w:r w:rsidRPr="007E4667">
        <w:rPr>
          <w:rFonts w:hint="eastAsia"/>
          <w:sz w:val="28"/>
          <w:szCs w:val="28"/>
        </w:rPr>
        <w:t>个百分点，</w:t>
      </w:r>
      <w:proofErr w:type="gramStart"/>
      <w:r w:rsidRPr="007E4667">
        <w:rPr>
          <w:rFonts w:hint="eastAsia"/>
          <w:sz w:val="28"/>
          <w:szCs w:val="28"/>
        </w:rPr>
        <w:t>跑盈了</w:t>
      </w:r>
      <w:proofErr w:type="gramEnd"/>
      <w:r w:rsidRPr="007E4667">
        <w:rPr>
          <w:rFonts w:hint="eastAsia"/>
          <w:sz w:val="28"/>
          <w:szCs w:val="28"/>
        </w:rPr>
        <w:t>GDP</w:t>
      </w:r>
      <w:r w:rsidRPr="007E4667">
        <w:rPr>
          <w:rFonts w:hint="eastAsia"/>
          <w:sz w:val="28"/>
          <w:szCs w:val="28"/>
        </w:rPr>
        <w:t>，且农村居民收入增长快于城镇居民。</w:t>
      </w:r>
    </w:p>
    <w:p w:rsidR="00AE60BB" w:rsidRPr="007E4667" w:rsidRDefault="00AE60BB" w:rsidP="00AE60BB">
      <w:pPr>
        <w:ind w:firstLine="540"/>
        <w:rPr>
          <w:sz w:val="28"/>
          <w:szCs w:val="28"/>
        </w:rPr>
      </w:pPr>
      <w:r w:rsidRPr="007E4667">
        <w:rPr>
          <w:rFonts w:hint="eastAsia"/>
          <w:sz w:val="28"/>
          <w:szCs w:val="28"/>
        </w:rPr>
        <w:t>二是在规模以上工业增加值增长</w:t>
      </w:r>
      <w:r w:rsidRPr="007E4667">
        <w:rPr>
          <w:rFonts w:hint="eastAsia"/>
          <w:sz w:val="28"/>
          <w:szCs w:val="28"/>
        </w:rPr>
        <w:t>6.6%</w:t>
      </w:r>
      <w:r w:rsidRPr="007E4667">
        <w:rPr>
          <w:rFonts w:hint="eastAsia"/>
          <w:sz w:val="28"/>
          <w:szCs w:val="28"/>
        </w:rPr>
        <w:t>，比上年加快</w:t>
      </w:r>
      <w:r w:rsidRPr="007E4667">
        <w:rPr>
          <w:rFonts w:hint="eastAsia"/>
          <w:sz w:val="28"/>
          <w:szCs w:val="28"/>
        </w:rPr>
        <w:t>0.6</w:t>
      </w:r>
      <w:r w:rsidRPr="007E4667">
        <w:rPr>
          <w:rFonts w:hint="eastAsia"/>
          <w:sz w:val="28"/>
          <w:szCs w:val="28"/>
        </w:rPr>
        <w:t>个百分点的同时，战略性新兴产业、高技术产业</w:t>
      </w:r>
      <w:r>
        <w:rPr>
          <w:rFonts w:hint="eastAsia"/>
          <w:sz w:val="28"/>
          <w:szCs w:val="28"/>
        </w:rPr>
        <w:t>和</w:t>
      </w:r>
      <w:r w:rsidRPr="007E4667">
        <w:rPr>
          <w:rFonts w:hint="eastAsia"/>
          <w:sz w:val="28"/>
          <w:szCs w:val="28"/>
        </w:rPr>
        <w:t>装备制造业增加值增长</w:t>
      </w:r>
      <w:r w:rsidRPr="007E4667">
        <w:rPr>
          <w:rFonts w:hint="eastAsia"/>
          <w:sz w:val="28"/>
          <w:szCs w:val="28"/>
        </w:rPr>
        <w:t>10%</w:t>
      </w:r>
      <w:r w:rsidRPr="007E4667">
        <w:rPr>
          <w:rFonts w:hint="eastAsia"/>
          <w:sz w:val="28"/>
          <w:szCs w:val="28"/>
        </w:rPr>
        <w:t>，服务业增加值增长</w:t>
      </w:r>
      <w:r w:rsidRPr="007E4667">
        <w:rPr>
          <w:rFonts w:hint="eastAsia"/>
          <w:sz w:val="28"/>
          <w:szCs w:val="28"/>
        </w:rPr>
        <w:t>8%</w:t>
      </w:r>
      <w:r w:rsidRPr="007E4667">
        <w:rPr>
          <w:rFonts w:hint="eastAsia"/>
          <w:sz w:val="28"/>
          <w:szCs w:val="28"/>
        </w:rPr>
        <w:t>，对</w:t>
      </w:r>
      <w:r w:rsidRPr="007E4667">
        <w:rPr>
          <w:rFonts w:hint="eastAsia"/>
          <w:sz w:val="28"/>
          <w:szCs w:val="28"/>
        </w:rPr>
        <w:t>GDP</w:t>
      </w:r>
      <w:r w:rsidRPr="007E4667">
        <w:rPr>
          <w:rFonts w:hint="eastAsia"/>
          <w:sz w:val="28"/>
          <w:szCs w:val="28"/>
        </w:rPr>
        <w:t>的贡献为</w:t>
      </w:r>
      <w:r w:rsidRPr="007E4667">
        <w:rPr>
          <w:rFonts w:hint="eastAsia"/>
          <w:sz w:val="28"/>
          <w:szCs w:val="28"/>
        </w:rPr>
        <w:t>58.8%</w:t>
      </w:r>
      <w:r w:rsidRPr="007E4667">
        <w:rPr>
          <w:rFonts w:hint="eastAsia"/>
          <w:sz w:val="28"/>
          <w:szCs w:val="28"/>
        </w:rPr>
        <w:t>。前者的加速说明经济增长新动能的增强，后者的加速说明结构调整的进展，二者符合经济增长的规律和中国经济发展的</w:t>
      </w:r>
      <w:r>
        <w:rPr>
          <w:rFonts w:hint="eastAsia"/>
          <w:sz w:val="28"/>
          <w:szCs w:val="28"/>
        </w:rPr>
        <w:t>客观</w:t>
      </w:r>
      <w:r w:rsidRPr="007E4667">
        <w:rPr>
          <w:rFonts w:hint="eastAsia"/>
          <w:sz w:val="28"/>
          <w:szCs w:val="28"/>
        </w:rPr>
        <w:t>要求，成为稳定经济增长的重要因素。</w:t>
      </w:r>
    </w:p>
    <w:p w:rsidR="00AE60BB" w:rsidRPr="007E4667" w:rsidRDefault="00AE60BB" w:rsidP="00AE60BB">
      <w:pPr>
        <w:ind w:firstLine="540"/>
        <w:rPr>
          <w:sz w:val="28"/>
          <w:szCs w:val="28"/>
        </w:rPr>
      </w:pPr>
      <w:r w:rsidRPr="007E4667">
        <w:rPr>
          <w:rFonts w:hint="eastAsia"/>
          <w:sz w:val="28"/>
          <w:szCs w:val="28"/>
        </w:rPr>
        <w:lastRenderedPageBreak/>
        <w:t>三是在世界经济复苏的背景下，外贸进出口货物总值</w:t>
      </w:r>
      <w:r w:rsidRPr="007E4667">
        <w:rPr>
          <w:rFonts w:hint="eastAsia"/>
          <w:sz w:val="28"/>
          <w:szCs w:val="28"/>
        </w:rPr>
        <w:t>27.79</w:t>
      </w:r>
      <w:proofErr w:type="gramStart"/>
      <w:r w:rsidRPr="007E4667">
        <w:rPr>
          <w:rFonts w:hint="eastAsia"/>
          <w:sz w:val="28"/>
          <w:szCs w:val="28"/>
        </w:rPr>
        <w:t>万亿</w:t>
      </w:r>
      <w:proofErr w:type="gramEnd"/>
      <w:r w:rsidRPr="007E4667">
        <w:rPr>
          <w:rFonts w:hint="eastAsia"/>
          <w:sz w:val="28"/>
          <w:szCs w:val="28"/>
        </w:rPr>
        <w:t>元，增长</w:t>
      </w:r>
      <w:r w:rsidRPr="007E4667">
        <w:rPr>
          <w:rFonts w:hint="eastAsia"/>
          <w:sz w:val="28"/>
          <w:szCs w:val="28"/>
        </w:rPr>
        <w:t>14.2%</w:t>
      </w:r>
      <w:r w:rsidRPr="007E4667">
        <w:rPr>
          <w:rFonts w:hint="eastAsia"/>
          <w:sz w:val="28"/>
          <w:szCs w:val="28"/>
        </w:rPr>
        <w:t>，对</w:t>
      </w:r>
      <w:r w:rsidRPr="007E4667">
        <w:rPr>
          <w:rFonts w:hint="eastAsia"/>
          <w:sz w:val="28"/>
          <w:szCs w:val="28"/>
        </w:rPr>
        <w:t>GDP</w:t>
      </w:r>
      <w:r w:rsidRPr="007E4667">
        <w:rPr>
          <w:rFonts w:hint="eastAsia"/>
          <w:sz w:val="28"/>
          <w:szCs w:val="28"/>
        </w:rPr>
        <w:t>的贡献</w:t>
      </w:r>
      <w:r w:rsidRPr="007E4667">
        <w:rPr>
          <w:rFonts w:hint="eastAsia"/>
          <w:sz w:val="28"/>
          <w:szCs w:val="28"/>
        </w:rPr>
        <w:t>9.1</w:t>
      </w:r>
      <w:r w:rsidRPr="007E4667">
        <w:rPr>
          <w:rFonts w:hint="eastAsia"/>
          <w:sz w:val="28"/>
          <w:szCs w:val="28"/>
        </w:rPr>
        <w:t>个百分点，改变了此前两年连续下降的局面。</w:t>
      </w:r>
    </w:p>
    <w:p w:rsidR="00AE60BB" w:rsidRPr="007E4667" w:rsidRDefault="00AE60BB" w:rsidP="00AE60BB">
      <w:pPr>
        <w:ind w:firstLine="540"/>
        <w:rPr>
          <w:sz w:val="28"/>
          <w:szCs w:val="28"/>
        </w:rPr>
      </w:pPr>
      <w:r w:rsidRPr="007E4667">
        <w:rPr>
          <w:rFonts w:hint="eastAsia"/>
          <w:sz w:val="28"/>
          <w:szCs w:val="28"/>
        </w:rPr>
        <w:t>在肯定经济增长成绩的同时，也应当充分</w:t>
      </w:r>
      <w:r>
        <w:rPr>
          <w:rFonts w:hint="eastAsia"/>
          <w:sz w:val="28"/>
          <w:szCs w:val="28"/>
        </w:rPr>
        <w:t>看到，</w:t>
      </w:r>
      <w:r w:rsidRPr="007E4667">
        <w:rPr>
          <w:rFonts w:hint="eastAsia"/>
          <w:sz w:val="28"/>
          <w:szCs w:val="28"/>
        </w:rPr>
        <w:t>经济运行中存在的潜在风险</w:t>
      </w:r>
      <w:r>
        <w:rPr>
          <w:rFonts w:hint="eastAsia"/>
          <w:sz w:val="28"/>
          <w:szCs w:val="28"/>
        </w:rPr>
        <w:t>正在聚集</w:t>
      </w:r>
      <w:r w:rsidRPr="007E4667">
        <w:rPr>
          <w:rFonts w:hint="eastAsia"/>
          <w:sz w:val="28"/>
          <w:szCs w:val="28"/>
        </w:rPr>
        <w:t>，</w:t>
      </w:r>
      <w:r>
        <w:rPr>
          <w:rFonts w:hint="eastAsia"/>
          <w:sz w:val="28"/>
          <w:szCs w:val="28"/>
        </w:rPr>
        <w:t>周期性回调的趋势已成必然。</w:t>
      </w:r>
      <w:r w:rsidRPr="007E4667">
        <w:rPr>
          <w:rFonts w:hint="eastAsia"/>
          <w:sz w:val="28"/>
          <w:szCs w:val="28"/>
        </w:rPr>
        <w:t>从当前暴露出来的问题看，主要有以下几个方面。</w:t>
      </w:r>
    </w:p>
    <w:p w:rsidR="00AE60BB" w:rsidRPr="007E4667" w:rsidRDefault="00AE60BB" w:rsidP="00AE60BB">
      <w:pPr>
        <w:ind w:firstLine="540"/>
        <w:rPr>
          <w:sz w:val="28"/>
          <w:szCs w:val="28"/>
        </w:rPr>
      </w:pPr>
      <w:r w:rsidRPr="007E4667">
        <w:rPr>
          <w:rFonts w:hint="eastAsia"/>
          <w:sz w:val="28"/>
          <w:szCs w:val="28"/>
        </w:rPr>
        <w:t>首先，有几个省市已经披露了过去经济数据的造假问题。最先承认经济数据有假的是辽宁，</w:t>
      </w:r>
      <w:r w:rsidRPr="007E4667">
        <w:rPr>
          <w:rFonts w:hint="eastAsia"/>
          <w:sz w:val="28"/>
          <w:szCs w:val="28"/>
        </w:rPr>
        <w:t>2017</w:t>
      </w:r>
      <w:r w:rsidRPr="007E4667">
        <w:rPr>
          <w:rFonts w:hint="eastAsia"/>
          <w:sz w:val="28"/>
          <w:szCs w:val="28"/>
        </w:rPr>
        <w:t>年初，辽宁主动承认</w:t>
      </w:r>
      <w:r w:rsidRPr="007E4667">
        <w:rPr>
          <w:rFonts w:hint="eastAsia"/>
          <w:sz w:val="28"/>
          <w:szCs w:val="28"/>
        </w:rPr>
        <w:t>2015</w:t>
      </w:r>
      <w:r w:rsidRPr="007E4667">
        <w:rPr>
          <w:rFonts w:hint="eastAsia"/>
          <w:sz w:val="28"/>
          <w:szCs w:val="28"/>
        </w:rPr>
        <w:t>年</w:t>
      </w:r>
      <w:r w:rsidRPr="007E4667">
        <w:rPr>
          <w:rFonts w:hint="eastAsia"/>
          <w:sz w:val="28"/>
          <w:szCs w:val="28"/>
        </w:rPr>
        <w:t>GDP</w:t>
      </w:r>
      <w:r w:rsidRPr="007E4667">
        <w:rPr>
          <w:rFonts w:hint="eastAsia"/>
          <w:sz w:val="28"/>
          <w:szCs w:val="28"/>
        </w:rPr>
        <w:t>虚增</w:t>
      </w:r>
      <w:r w:rsidRPr="007E4667">
        <w:rPr>
          <w:rFonts w:hint="eastAsia"/>
          <w:sz w:val="28"/>
          <w:szCs w:val="28"/>
        </w:rPr>
        <w:t>23%</w:t>
      </w:r>
      <w:r w:rsidRPr="007E4667">
        <w:rPr>
          <w:rFonts w:hint="eastAsia"/>
          <w:sz w:val="28"/>
          <w:szCs w:val="28"/>
        </w:rPr>
        <w:t>，财政收入比上年减少</w:t>
      </w:r>
      <w:r w:rsidRPr="007E4667">
        <w:rPr>
          <w:rFonts w:hint="eastAsia"/>
          <w:sz w:val="28"/>
          <w:szCs w:val="28"/>
        </w:rPr>
        <w:t>1066</w:t>
      </w:r>
      <w:r w:rsidRPr="007E4667">
        <w:rPr>
          <w:rFonts w:hint="eastAsia"/>
          <w:sz w:val="28"/>
          <w:szCs w:val="28"/>
        </w:rPr>
        <w:t>（</w:t>
      </w:r>
      <w:r w:rsidRPr="007E4667">
        <w:rPr>
          <w:rFonts w:hint="eastAsia"/>
          <w:sz w:val="28"/>
          <w:szCs w:val="28"/>
        </w:rPr>
        <w:t>3191-2125</w:t>
      </w:r>
      <w:r w:rsidRPr="007E4667">
        <w:rPr>
          <w:rFonts w:hint="eastAsia"/>
          <w:sz w:val="28"/>
          <w:szCs w:val="28"/>
        </w:rPr>
        <w:t>）亿元，占当年财政收入的一半，支出减少</w:t>
      </w:r>
      <w:r w:rsidRPr="007E4667">
        <w:rPr>
          <w:rFonts w:hint="eastAsia"/>
          <w:sz w:val="28"/>
          <w:szCs w:val="28"/>
        </w:rPr>
        <w:t>457</w:t>
      </w:r>
      <w:r w:rsidRPr="007E4667">
        <w:rPr>
          <w:rFonts w:hint="eastAsia"/>
          <w:sz w:val="28"/>
          <w:szCs w:val="28"/>
        </w:rPr>
        <w:t>（</w:t>
      </w:r>
      <w:r w:rsidRPr="007E4667">
        <w:rPr>
          <w:rFonts w:hint="eastAsia"/>
          <w:sz w:val="28"/>
          <w:szCs w:val="28"/>
        </w:rPr>
        <w:t>4617-5015</w:t>
      </w:r>
      <w:r w:rsidRPr="007E4667">
        <w:rPr>
          <w:rFonts w:hint="eastAsia"/>
          <w:sz w:val="28"/>
          <w:szCs w:val="28"/>
        </w:rPr>
        <w:t>）亿元，造假</w:t>
      </w:r>
      <w:r w:rsidRPr="007E4667">
        <w:rPr>
          <w:rFonts w:hint="eastAsia"/>
          <w:sz w:val="28"/>
          <w:szCs w:val="28"/>
        </w:rPr>
        <w:t>609</w:t>
      </w:r>
      <w:r w:rsidRPr="007E4667">
        <w:rPr>
          <w:rFonts w:hint="eastAsia"/>
          <w:sz w:val="28"/>
          <w:szCs w:val="28"/>
        </w:rPr>
        <w:t>（</w:t>
      </w:r>
      <w:r w:rsidRPr="007E4667">
        <w:rPr>
          <w:rFonts w:hint="eastAsia"/>
          <w:sz w:val="28"/>
          <w:szCs w:val="28"/>
        </w:rPr>
        <w:t>1066-457</w:t>
      </w:r>
      <w:r w:rsidRPr="007E4667">
        <w:rPr>
          <w:rFonts w:hint="eastAsia"/>
          <w:sz w:val="28"/>
          <w:szCs w:val="28"/>
        </w:rPr>
        <w:t>）亿元。接着是内蒙，经审计，</w:t>
      </w:r>
      <w:r w:rsidRPr="007E4667">
        <w:rPr>
          <w:rFonts w:hint="eastAsia"/>
          <w:sz w:val="28"/>
          <w:szCs w:val="28"/>
        </w:rPr>
        <w:t>2016</w:t>
      </w:r>
      <w:r w:rsidRPr="007E4667">
        <w:rPr>
          <w:rFonts w:hint="eastAsia"/>
          <w:sz w:val="28"/>
          <w:szCs w:val="28"/>
        </w:rPr>
        <w:t>年一般公共预算收入调减</w:t>
      </w:r>
      <w:r w:rsidRPr="007E4667">
        <w:rPr>
          <w:rFonts w:hint="eastAsia"/>
          <w:sz w:val="28"/>
          <w:szCs w:val="28"/>
        </w:rPr>
        <w:t>530</w:t>
      </w:r>
      <w:r w:rsidRPr="007E4667">
        <w:rPr>
          <w:rFonts w:hint="eastAsia"/>
          <w:sz w:val="28"/>
          <w:szCs w:val="28"/>
        </w:rPr>
        <w:t>亿元，占总量的</w:t>
      </w:r>
      <w:r w:rsidRPr="007E4667">
        <w:rPr>
          <w:rFonts w:hint="eastAsia"/>
          <w:sz w:val="28"/>
          <w:szCs w:val="28"/>
        </w:rPr>
        <w:t>26.3%</w:t>
      </w:r>
      <w:r w:rsidRPr="007E4667">
        <w:rPr>
          <w:rFonts w:hint="eastAsia"/>
          <w:sz w:val="28"/>
          <w:szCs w:val="28"/>
        </w:rPr>
        <w:t>，核减规模以上工业增加值</w:t>
      </w:r>
      <w:r w:rsidRPr="007E4667">
        <w:rPr>
          <w:rFonts w:hint="eastAsia"/>
          <w:sz w:val="28"/>
          <w:szCs w:val="28"/>
        </w:rPr>
        <w:t>2900</w:t>
      </w:r>
      <w:r w:rsidRPr="007E4667">
        <w:rPr>
          <w:rFonts w:hint="eastAsia"/>
          <w:sz w:val="28"/>
          <w:szCs w:val="28"/>
        </w:rPr>
        <w:t>亿元，占全部工业增加值的</w:t>
      </w:r>
      <w:r w:rsidRPr="007E4667">
        <w:rPr>
          <w:rFonts w:hint="eastAsia"/>
          <w:sz w:val="28"/>
          <w:szCs w:val="28"/>
        </w:rPr>
        <w:t>40%</w:t>
      </w:r>
      <w:r w:rsidRPr="007E4667">
        <w:rPr>
          <w:rFonts w:hint="eastAsia"/>
          <w:sz w:val="28"/>
          <w:szCs w:val="28"/>
        </w:rPr>
        <w:t>。最近是天津，</w:t>
      </w:r>
      <w:r w:rsidRPr="007E4667">
        <w:rPr>
          <w:rFonts w:hint="eastAsia"/>
          <w:sz w:val="28"/>
          <w:szCs w:val="28"/>
        </w:rPr>
        <w:t>2016</w:t>
      </w:r>
      <w:r w:rsidRPr="007E4667">
        <w:rPr>
          <w:rFonts w:hint="eastAsia"/>
          <w:sz w:val="28"/>
          <w:szCs w:val="28"/>
        </w:rPr>
        <w:t>年，天津滨海新区的</w:t>
      </w:r>
      <w:r w:rsidRPr="007E4667">
        <w:rPr>
          <w:rFonts w:hint="eastAsia"/>
          <w:sz w:val="28"/>
          <w:szCs w:val="28"/>
        </w:rPr>
        <w:t>GDP</w:t>
      </w:r>
      <w:r w:rsidRPr="007E4667">
        <w:rPr>
          <w:rFonts w:hint="eastAsia"/>
          <w:sz w:val="28"/>
          <w:szCs w:val="28"/>
        </w:rPr>
        <w:t>为</w:t>
      </w:r>
      <w:r w:rsidRPr="007E4667">
        <w:rPr>
          <w:rFonts w:hint="eastAsia"/>
          <w:sz w:val="28"/>
          <w:szCs w:val="28"/>
        </w:rPr>
        <w:t>10002</w:t>
      </w:r>
      <w:r w:rsidRPr="007E4667">
        <w:rPr>
          <w:rFonts w:hint="eastAsia"/>
          <w:sz w:val="28"/>
          <w:szCs w:val="28"/>
        </w:rPr>
        <w:t>亿元，挤掉水分之后为</w:t>
      </w:r>
      <w:r w:rsidRPr="007E4667">
        <w:rPr>
          <w:rFonts w:hint="eastAsia"/>
          <w:sz w:val="28"/>
          <w:szCs w:val="28"/>
        </w:rPr>
        <w:t>6654</w:t>
      </w:r>
      <w:r w:rsidRPr="007E4667">
        <w:rPr>
          <w:rFonts w:hint="eastAsia"/>
          <w:sz w:val="28"/>
          <w:szCs w:val="28"/>
        </w:rPr>
        <w:t>亿元，减少了</w:t>
      </w:r>
      <w:r w:rsidRPr="007E4667">
        <w:rPr>
          <w:rFonts w:hint="eastAsia"/>
          <w:sz w:val="28"/>
          <w:szCs w:val="28"/>
        </w:rPr>
        <w:t>1/3</w:t>
      </w:r>
      <w:r w:rsidRPr="007E4667">
        <w:rPr>
          <w:rFonts w:hint="eastAsia"/>
          <w:sz w:val="28"/>
          <w:szCs w:val="28"/>
        </w:rPr>
        <w:t>，该区的</w:t>
      </w:r>
      <w:r w:rsidRPr="007E4667">
        <w:rPr>
          <w:rFonts w:hint="eastAsia"/>
          <w:sz w:val="28"/>
          <w:szCs w:val="28"/>
        </w:rPr>
        <w:t>GDP</w:t>
      </w:r>
      <w:r w:rsidRPr="007E4667">
        <w:rPr>
          <w:rFonts w:hint="eastAsia"/>
          <w:sz w:val="28"/>
          <w:szCs w:val="28"/>
        </w:rPr>
        <w:t>占全天津</w:t>
      </w:r>
      <w:r w:rsidRPr="007E4667">
        <w:rPr>
          <w:rFonts w:hint="eastAsia"/>
          <w:sz w:val="28"/>
          <w:szCs w:val="28"/>
        </w:rPr>
        <w:t>GDP</w:t>
      </w:r>
      <w:r w:rsidRPr="007E4667">
        <w:rPr>
          <w:rFonts w:hint="eastAsia"/>
          <w:sz w:val="28"/>
          <w:szCs w:val="28"/>
        </w:rPr>
        <w:t>的</w:t>
      </w:r>
      <w:r w:rsidRPr="007E4667">
        <w:rPr>
          <w:rFonts w:hint="eastAsia"/>
          <w:sz w:val="28"/>
          <w:szCs w:val="28"/>
        </w:rPr>
        <w:t>60%</w:t>
      </w:r>
      <w:r w:rsidRPr="007E4667">
        <w:rPr>
          <w:rFonts w:hint="eastAsia"/>
          <w:sz w:val="28"/>
          <w:szCs w:val="28"/>
        </w:rPr>
        <w:t>，如果按照</w:t>
      </w:r>
      <w:r w:rsidRPr="007E4667">
        <w:rPr>
          <w:rFonts w:hint="eastAsia"/>
          <w:sz w:val="28"/>
          <w:szCs w:val="28"/>
        </w:rPr>
        <w:t>13%</w:t>
      </w:r>
      <w:r w:rsidRPr="007E4667">
        <w:rPr>
          <w:rFonts w:hint="eastAsia"/>
          <w:sz w:val="28"/>
          <w:szCs w:val="28"/>
        </w:rPr>
        <w:t>的增值税计算，仅滨海新</w:t>
      </w:r>
      <w:r>
        <w:rPr>
          <w:rFonts w:hint="eastAsia"/>
          <w:sz w:val="28"/>
          <w:szCs w:val="28"/>
        </w:rPr>
        <w:t>区</w:t>
      </w:r>
      <w:r w:rsidRPr="007E4667">
        <w:rPr>
          <w:rFonts w:hint="eastAsia"/>
          <w:sz w:val="28"/>
          <w:szCs w:val="28"/>
        </w:rPr>
        <w:t>就使天津的税收减少了</w:t>
      </w:r>
      <w:r w:rsidRPr="007E4667">
        <w:rPr>
          <w:rFonts w:hint="eastAsia"/>
          <w:sz w:val="28"/>
          <w:szCs w:val="28"/>
        </w:rPr>
        <w:t>345</w:t>
      </w:r>
      <w:r w:rsidRPr="007E4667">
        <w:rPr>
          <w:rFonts w:hint="eastAsia"/>
          <w:sz w:val="28"/>
          <w:szCs w:val="28"/>
        </w:rPr>
        <w:t>亿元。</w:t>
      </w:r>
      <w:r>
        <w:rPr>
          <w:rFonts w:hint="eastAsia"/>
          <w:sz w:val="28"/>
          <w:szCs w:val="28"/>
        </w:rPr>
        <w:t>我们不知道接着而来的还有哪些地方。如果考虑到地方债务，可能有的地方已经破产，只是我们不这样看待。</w:t>
      </w:r>
      <w:r w:rsidRPr="007E4667">
        <w:rPr>
          <w:rFonts w:hint="eastAsia"/>
          <w:sz w:val="28"/>
          <w:szCs w:val="28"/>
        </w:rPr>
        <w:t>数字出官，官出数字，过去造假，现在说真话，目的之一是为了政绩，为了升官。当然，说真话总是件好事情。了解真相总比蒙在鼓里、盲目乐观要好。局长说地方数字不实，不影响全国的数据，此话有一定道理，全国</w:t>
      </w:r>
      <w:r w:rsidRPr="007E4667">
        <w:rPr>
          <w:rFonts w:hint="eastAsia"/>
          <w:sz w:val="28"/>
          <w:szCs w:val="28"/>
        </w:rPr>
        <w:t>GDP</w:t>
      </w:r>
      <w:r w:rsidRPr="007E4667">
        <w:rPr>
          <w:rFonts w:hint="eastAsia"/>
          <w:sz w:val="28"/>
          <w:szCs w:val="28"/>
        </w:rPr>
        <w:t>并非按照地方上报数字加总而来，而是由国家统计局独立调查计算的，</w:t>
      </w:r>
      <w:r>
        <w:rPr>
          <w:rFonts w:hint="eastAsia"/>
          <w:sz w:val="28"/>
          <w:szCs w:val="28"/>
        </w:rPr>
        <w:t>但据说有调查企业把上报点放在财政部门；</w:t>
      </w:r>
      <w:r w:rsidRPr="007E4667">
        <w:rPr>
          <w:rFonts w:hint="eastAsia"/>
          <w:sz w:val="28"/>
          <w:szCs w:val="28"/>
        </w:rPr>
        <w:t>地方</w:t>
      </w:r>
      <w:r w:rsidRPr="007E4667">
        <w:rPr>
          <w:rFonts w:hint="eastAsia"/>
          <w:sz w:val="28"/>
          <w:szCs w:val="28"/>
        </w:rPr>
        <w:lastRenderedPageBreak/>
        <w:t>GDP</w:t>
      </w:r>
      <w:r w:rsidRPr="007E4667">
        <w:rPr>
          <w:rFonts w:hint="eastAsia"/>
          <w:sz w:val="28"/>
          <w:szCs w:val="28"/>
        </w:rPr>
        <w:t>增长数字一般高于全国，已</w:t>
      </w:r>
      <w:r>
        <w:rPr>
          <w:rFonts w:hint="eastAsia"/>
          <w:sz w:val="28"/>
          <w:szCs w:val="28"/>
        </w:rPr>
        <w:t>公布</w:t>
      </w:r>
      <w:r w:rsidRPr="007E4667">
        <w:rPr>
          <w:rFonts w:hint="eastAsia"/>
          <w:sz w:val="28"/>
          <w:szCs w:val="28"/>
        </w:rPr>
        <w:t>2017</w:t>
      </w:r>
      <w:r w:rsidRPr="007E4667">
        <w:rPr>
          <w:rFonts w:hint="eastAsia"/>
          <w:sz w:val="28"/>
          <w:szCs w:val="28"/>
        </w:rPr>
        <w:t>年</w:t>
      </w:r>
      <w:r>
        <w:rPr>
          <w:rFonts w:hint="eastAsia"/>
          <w:sz w:val="28"/>
          <w:szCs w:val="28"/>
        </w:rPr>
        <w:t>经济数据</w:t>
      </w:r>
      <w:r w:rsidRPr="007E4667">
        <w:rPr>
          <w:rFonts w:hint="eastAsia"/>
          <w:sz w:val="28"/>
          <w:szCs w:val="28"/>
        </w:rPr>
        <w:t>的</w:t>
      </w:r>
      <w:r w:rsidRPr="007E4667">
        <w:rPr>
          <w:rFonts w:hint="eastAsia"/>
          <w:sz w:val="28"/>
          <w:szCs w:val="28"/>
        </w:rPr>
        <w:t>20</w:t>
      </w:r>
      <w:r>
        <w:rPr>
          <w:rFonts w:hint="eastAsia"/>
          <w:sz w:val="28"/>
          <w:szCs w:val="28"/>
        </w:rPr>
        <w:t>个省市区，只有北京、黑龙江和天津的增长率低于全国。不过，</w:t>
      </w:r>
      <w:r w:rsidRPr="007E4667">
        <w:rPr>
          <w:rFonts w:hint="eastAsia"/>
          <w:sz w:val="28"/>
          <w:szCs w:val="28"/>
        </w:rPr>
        <w:t>说地方造假对全国没有影响，恐怕未必，这一事件的深远影响更值得关注。局长未给出具体说明和分析，还不能令人</w:t>
      </w:r>
      <w:r>
        <w:rPr>
          <w:rFonts w:hint="eastAsia"/>
          <w:sz w:val="28"/>
          <w:szCs w:val="28"/>
        </w:rPr>
        <w:t>完全</w:t>
      </w:r>
      <w:r w:rsidRPr="007E4667">
        <w:rPr>
          <w:rFonts w:hint="eastAsia"/>
          <w:sz w:val="28"/>
          <w:szCs w:val="28"/>
        </w:rPr>
        <w:t>信服。网络</w:t>
      </w:r>
      <w:r>
        <w:rPr>
          <w:rFonts w:hint="eastAsia"/>
          <w:sz w:val="28"/>
          <w:szCs w:val="28"/>
        </w:rPr>
        <w:t>以违规违法为由</w:t>
      </w:r>
      <w:r w:rsidRPr="007E4667">
        <w:rPr>
          <w:rFonts w:hint="eastAsia"/>
          <w:sz w:val="28"/>
          <w:szCs w:val="28"/>
        </w:rPr>
        <w:t>删掉这样的信息，我们不知道它因何违规？</w:t>
      </w:r>
      <w:proofErr w:type="gramStart"/>
      <w:r w:rsidRPr="007E4667">
        <w:rPr>
          <w:rFonts w:hint="eastAsia"/>
          <w:sz w:val="28"/>
          <w:szCs w:val="28"/>
        </w:rPr>
        <w:t>违</w:t>
      </w:r>
      <w:proofErr w:type="gramEnd"/>
      <w:r w:rsidRPr="007E4667">
        <w:rPr>
          <w:rFonts w:hint="eastAsia"/>
          <w:sz w:val="28"/>
          <w:szCs w:val="28"/>
        </w:rPr>
        <w:t>什么</w:t>
      </w:r>
      <w:proofErr w:type="gramStart"/>
      <w:r w:rsidRPr="007E4667">
        <w:rPr>
          <w:rFonts w:hint="eastAsia"/>
          <w:sz w:val="28"/>
          <w:szCs w:val="28"/>
        </w:rPr>
        <w:t>规</w:t>
      </w:r>
      <w:proofErr w:type="gramEnd"/>
      <w:r w:rsidRPr="007E4667">
        <w:rPr>
          <w:rFonts w:hint="eastAsia"/>
          <w:sz w:val="28"/>
          <w:szCs w:val="28"/>
        </w:rPr>
        <w:t>？造谣，应当揭露；不实，应当纠正，不明不白的删除，只能引起更多的猜疑。</w:t>
      </w:r>
    </w:p>
    <w:p w:rsidR="00AE60BB" w:rsidRPr="007E4667" w:rsidRDefault="00AE60BB" w:rsidP="00AE60BB">
      <w:pPr>
        <w:ind w:firstLine="540"/>
        <w:rPr>
          <w:sz w:val="28"/>
          <w:szCs w:val="28"/>
        </w:rPr>
      </w:pPr>
      <w:r w:rsidRPr="007E4667">
        <w:rPr>
          <w:rFonts w:hint="eastAsia"/>
          <w:sz w:val="28"/>
          <w:szCs w:val="28"/>
        </w:rPr>
        <w:t>其次，新增就业</w:t>
      </w:r>
      <w:r w:rsidRPr="007E4667">
        <w:rPr>
          <w:rFonts w:hint="eastAsia"/>
          <w:sz w:val="28"/>
          <w:szCs w:val="28"/>
        </w:rPr>
        <w:t>1300</w:t>
      </w:r>
      <w:r w:rsidRPr="007E4667">
        <w:rPr>
          <w:rFonts w:hint="eastAsia"/>
          <w:sz w:val="28"/>
          <w:szCs w:val="28"/>
        </w:rPr>
        <w:t>万人的确是一个好消息，</w:t>
      </w:r>
      <w:r>
        <w:rPr>
          <w:rFonts w:hint="eastAsia"/>
          <w:sz w:val="28"/>
          <w:szCs w:val="28"/>
        </w:rPr>
        <w:t>新经济带动的新</w:t>
      </w:r>
      <w:proofErr w:type="gramStart"/>
      <w:r>
        <w:rPr>
          <w:rFonts w:hint="eastAsia"/>
          <w:sz w:val="28"/>
          <w:szCs w:val="28"/>
        </w:rPr>
        <w:t>就业占</w:t>
      </w:r>
      <w:proofErr w:type="gramEnd"/>
      <w:r>
        <w:rPr>
          <w:rFonts w:hint="eastAsia"/>
          <w:sz w:val="28"/>
          <w:szCs w:val="28"/>
        </w:rPr>
        <w:t>总就业的</w:t>
      </w:r>
      <w:r>
        <w:rPr>
          <w:rFonts w:hint="eastAsia"/>
          <w:sz w:val="28"/>
          <w:szCs w:val="28"/>
        </w:rPr>
        <w:t>6.4%</w:t>
      </w:r>
      <w:r>
        <w:rPr>
          <w:rFonts w:hint="eastAsia"/>
          <w:sz w:val="28"/>
          <w:szCs w:val="28"/>
        </w:rPr>
        <w:t>更让人激动。</w:t>
      </w:r>
      <w:r w:rsidRPr="007E4667">
        <w:rPr>
          <w:rFonts w:hint="eastAsia"/>
          <w:sz w:val="28"/>
          <w:szCs w:val="28"/>
        </w:rPr>
        <w:t>但仅以此估算和分析就业和失业问题依据不足。</w:t>
      </w:r>
      <w:r>
        <w:rPr>
          <w:rFonts w:hint="eastAsia"/>
          <w:sz w:val="28"/>
          <w:szCs w:val="28"/>
        </w:rPr>
        <w:t>新经济消灭了一批旧岗位，也创造了一批新岗位。</w:t>
      </w:r>
      <w:r w:rsidRPr="007E4667">
        <w:rPr>
          <w:rFonts w:hint="eastAsia"/>
          <w:sz w:val="28"/>
          <w:szCs w:val="28"/>
        </w:rPr>
        <w:t>由于营商成本增加，一些外资企业撤出，不少人失业，如希捷关闭苏州工厂裁员</w:t>
      </w:r>
      <w:r w:rsidRPr="007E4667">
        <w:rPr>
          <w:rFonts w:hint="eastAsia"/>
          <w:sz w:val="28"/>
          <w:szCs w:val="28"/>
        </w:rPr>
        <w:t>2000</w:t>
      </w:r>
      <w:r w:rsidRPr="007E4667">
        <w:rPr>
          <w:rFonts w:hint="eastAsia"/>
          <w:sz w:val="28"/>
          <w:szCs w:val="28"/>
        </w:rPr>
        <w:t>人，日东电工</w:t>
      </w:r>
      <w:r w:rsidRPr="007E4667">
        <w:rPr>
          <w:rFonts w:hint="eastAsia"/>
          <w:sz w:val="28"/>
          <w:szCs w:val="28"/>
        </w:rPr>
        <w:t>1</w:t>
      </w:r>
      <w:r w:rsidRPr="007E4667">
        <w:rPr>
          <w:rFonts w:hint="eastAsia"/>
          <w:sz w:val="28"/>
          <w:szCs w:val="28"/>
        </w:rPr>
        <w:t>月份停产，</w:t>
      </w:r>
      <w:r w:rsidRPr="007E4667">
        <w:rPr>
          <w:rFonts w:hint="eastAsia"/>
          <w:sz w:val="28"/>
          <w:szCs w:val="28"/>
        </w:rPr>
        <w:t>2</w:t>
      </w:r>
      <w:r w:rsidRPr="007E4667">
        <w:rPr>
          <w:rFonts w:hint="eastAsia"/>
          <w:sz w:val="28"/>
          <w:szCs w:val="28"/>
        </w:rPr>
        <w:t>月份解除合同，正式退出中国市场</w:t>
      </w:r>
      <w:r>
        <w:rPr>
          <w:rFonts w:hint="eastAsia"/>
          <w:sz w:val="28"/>
          <w:szCs w:val="28"/>
        </w:rPr>
        <w:t>，大概也有</w:t>
      </w:r>
      <w:r>
        <w:rPr>
          <w:rFonts w:hint="eastAsia"/>
          <w:sz w:val="28"/>
          <w:szCs w:val="28"/>
        </w:rPr>
        <w:t>1000</w:t>
      </w:r>
      <w:r>
        <w:rPr>
          <w:rFonts w:hint="eastAsia"/>
          <w:sz w:val="28"/>
          <w:szCs w:val="28"/>
        </w:rPr>
        <w:t>人失业</w:t>
      </w:r>
      <w:r w:rsidRPr="007E4667">
        <w:rPr>
          <w:rFonts w:hint="eastAsia"/>
          <w:sz w:val="28"/>
          <w:szCs w:val="28"/>
        </w:rPr>
        <w:t>。由于环境整治风暴，成万计中小企业关门，也有很多人需要重新就业。北京等一些城市拆除违</w:t>
      </w:r>
      <w:r>
        <w:rPr>
          <w:rFonts w:hint="eastAsia"/>
          <w:sz w:val="28"/>
          <w:szCs w:val="28"/>
        </w:rPr>
        <w:t>建</w:t>
      </w:r>
      <w:r w:rsidRPr="007E4667">
        <w:rPr>
          <w:rFonts w:hint="eastAsia"/>
          <w:sz w:val="28"/>
          <w:szCs w:val="28"/>
        </w:rPr>
        <w:t>，驱赶低端人口，也会增加失业人数。只有扣除掉失业人数，新增就业人数才有实际意义。同样，国务院发布文件，进一步鼓励引进外资，</w:t>
      </w:r>
      <w:r w:rsidRPr="007E4667">
        <w:rPr>
          <w:rFonts w:hint="eastAsia"/>
          <w:sz w:val="28"/>
          <w:szCs w:val="28"/>
        </w:rPr>
        <w:t>2017</w:t>
      </w:r>
      <w:r w:rsidRPr="007E4667">
        <w:rPr>
          <w:rFonts w:hint="eastAsia"/>
          <w:sz w:val="28"/>
          <w:szCs w:val="28"/>
        </w:rPr>
        <w:t>年实际利用外资</w:t>
      </w:r>
      <w:r w:rsidRPr="007E4667">
        <w:rPr>
          <w:rFonts w:hint="eastAsia"/>
          <w:sz w:val="28"/>
          <w:szCs w:val="28"/>
        </w:rPr>
        <w:t>8775.6</w:t>
      </w:r>
      <w:r w:rsidRPr="007E4667">
        <w:rPr>
          <w:rFonts w:hint="eastAsia"/>
          <w:sz w:val="28"/>
          <w:szCs w:val="28"/>
        </w:rPr>
        <w:t>亿元，也是一个重要业绩。当外资大举进入时，这样计算当然没有问题，但当有外资撤离时，这样对待就值得考虑，只有进入的外资扣除撤离的外资，才是真正实际利用的外资。</w:t>
      </w:r>
    </w:p>
    <w:p w:rsidR="00AE60BB" w:rsidRPr="007E4667" w:rsidRDefault="00AE60BB" w:rsidP="00AE60BB">
      <w:pPr>
        <w:ind w:firstLine="540"/>
        <w:rPr>
          <w:sz w:val="28"/>
          <w:szCs w:val="28"/>
        </w:rPr>
      </w:pPr>
      <w:r w:rsidRPr="007E4667">
        <w:rPr>
          <w:rFonts w:hint="eastAsia"/>
          <w:sz w:val="28"/>
          <w:szCs w:val="28"/>
        </w:rPr>
        <w:t>再次，一般人认为，</w:t>
      </w:r>
      <w:proofErr w:type="gramStart"/>
      <w:r w:rsidRPr="007E4667">
        <w:rPr>
          <w:rFonts w:hint="eastAsia"/>
          <w:sz w:val="28"/>
          <w:szCs w:val="28"/>
        </w:rPr>
        <w:t>稳投资是稳增长</w:t>
      </w:r>
      <w:proofErr w:type="gramEnd"/>
      <w:r w:rsidRPr="007E4667">
        <w:rPr>
          <w:rFonts w:hint="eastAsia"/>
          <w:sz w:val="28"/>
          <w:szCs w:val="28"/>
        </w:rPr>
        <w:t>的关键。无论从理论还是我国的实际来看，这是有道理的。</w:t>
      </w:r>
      <w:r w:rsidRPr="007E4667">
        <w:rPr>
          <w:rFonts w:hint="eastAsia"/>
          <w:sz w:val="28"/>
          <w:szCs w:val="28"/>
        </w:rPr>
        <w:t>2017</w:t>
      </w:r>
      <w:r w:rsidRPr="007E4667">
        <w:rPr>
          <w:rFonts w:hint="eastAsia"/>
          <w:sz w:val="28"/>
          <w:szCs w:val="28"/>
        </w:rPr>
        <w:t>年投资增长</w:t>
      </w:r>
      <w:r w:rsidRPr="007E4667">
        <w:rPr>
          <w:rFonts w:hint="eastAsia"/>
          <w:sz w:val="28"/>
          <w:szCs w:val="28"/>
        </w:rPr>
        <w:t>7.2%</w:t>
      </w:r>
      <w:r w:rsidRPr="007E4667">
        <w:rPr>
          <w:rFonts w:hint="eastAsia"/>
          <w:sz w:val="28"/>
          <w:szCs w:val="28"/>
        </w:rPr>
        <w:t>，比上年回落</w:t>
      </w:r>
      <w:r w:rsidRPr="007E4667">
        <w:rPr>
          <w:rFonts w:hint="eastAsia"/>
          <w:sz w:val="28"/>
          <w:szCs w:val="28"/>
        </w:rPr>
        <w:t>0.9</w:t>
      </w:r>
      <w:r w:rsidRPr="007E4667">
        <w:rPr>
          <w:rFonts w:hint="eastAsia"/>
          <w:sz w:val="28"/>
          <w:szCs w:val="28"/>
        </w:rPr>
        <w:t>个百分点，但仍高于经济增长率，说明投资的效率在下降</w:t>
      </w:r>
      <w:r>
        <w:rPr>
          <w:rFonts w:hint="eastAsia"/>
          <w:sz w:val="28"/>
          <w:szCs w:val="28"/>
        </w:rPr>
        <w:t>。更重要的是</w:t>
      </w:r>
      <w:r w:rsidRPr="007E4667">
        <w:rPr>
          <w:rFonts w:hint="eastAsia"/>
          <w:sz w:val="28"/>
          <w:szCs w:val="28"/>
        </w:rPr>
        <w:t>增长结构和速度分布，国有控股投资增长</w:t>
      </w:r>
      <w:r w:rsidRPr="007E4667">
        <w:rPr>
          <w:rFonts w:hint="eastAsia"/>
          <w:sz w:val="28"/>
          <w:szCs w:val="28"/>
        </w:rPr>
        <w:t>10.1%</w:t>
      </w:r>
      <w:r w:rsidRPr="007E4667">
        <w:rPr>
          <w:rFonts w:hint="eastAsia"/>
          <w:sz w:val="28"/>
          <w:szCs w:val="28"/>
        </w:rPr>
        <w:t>，民间投资增</w:t>
      </w:r>
      <w:r w:rsidRPr="007E4667">
        <w:rPr>
          <w:rFonts w:hint="eastAsia"/>
          <w:sz w:val="28"/>
          <w:szCs w:val="28"/>
        </w:rPr>
        <w:lastRenderedPageBreak/>
        <w:t>长</w:t>
      </w:r>
      <w:r w:rsidRPr="007E4667">
        <w:rPr>
          <w:rFonts w:hint="eastAsia"/>
          <w:sz w:val="28"/>
          <w:szCs w:val="28"/>
        </w:rPr>
        <w:t>6%</w:t>
      </w:r>
      <w:r w:rsidRPr="007E4667">
        <w:rPr>
          <w:rFonts w:hint="eastAsia"/>
          <w:sz w:val="28"/>
          <w:szCs w:val="28"/>
        </w:rPr>
        <w:t>，虽比上年加快</w:t>
      </w:r>
      <w:r w:rsidRPr="007E4667">
        <w:rPr>
          <w:rFonts w:hint="eastAsia"/>
          <w:sz w:val="28"/>
          <w:szCs w:val="28"/>
        </w:rPr>
        <w:t>2.8</w:t>
      </w:r>
      <w:r w:rsidRPr="007E4667">
        <w:rPr>
          <w:rFonts w:hint="eastAsia"/>
          <w:sz w:val="28"/>
          <w:szCs w:val="28"/>
        </w:rPr>
        <w:t>个百分点，但只及国有控股投资的</w:t>
      </w:r>
      <w:r w:rsidRPr="007E4667">
        <w:rPr>
          <w:rFonts w:hint="eastAsia"/>
          <w:sz w:val="28"/>
          <w:szCs w:val="28"/>
        </w:rPr>
        <w:t>59.4%</w:t>
      </w:r>
      <w:r w:rsidRPr="007E4667">
        <w:rPr>
          <w:rFonts w:hint="eastAsia"/>
          <w:sz w:val="28"/>
          <w:szCs w:val="28"/>
        </w:rPr>
        <w:t>。基础设施投资增长</w:t>
      </w:r>
      <w:r w:rsidRPr="007E4667">
        <w:rPr>
          <w:rFonts w:hint="eastAsia"/>
          <w:sz w:val="28"/>
          <w:szCs w:val="28"/>
        </w:rPr>
        <w:t>19%</w:t>
      </w:r>
      <w:r w:rsidRPr="007E4667">
        <w:rPr>
          <w:rFonts w:hint="eastAsia"/>
          <w:sz w:val="28"/>
          <w:szCs w:val="28"/>
        </w:rPr>
        <w:t>，高新技术制造业、装备制造业投资分别增长</w:t>
      </w:r>
      <w:r w:rsidRPr="007E4667">
        <w:rPr>
          <w:rFonts w:hint="eastAsia"/>
          <w:sz w:val="28"/>
          <w:szCs w:val="28"/>
        </w:rPr>
        <w:t>17%</w:t>
      </w:r>
      <w:r w:rsidRPr="007E4667">
        <w:rPr>
          <w:rFonts w:hint="eastAsia"/>
          <w:sz w:val="28"/>
          <w:szCs w:val="28"/>
        </w:rPr>
        <w:t>和</w:t>
      </w:r>
      <w:r w:rsidRPr="007E4667">
        <w:rPr>
          <w:rFonts w:hint="eastAsia"/>
          <w:sz w:val="28"/>
          <w:szCs w:val="28"/>
        </w:rPr>
        <w:t>8.6%</w:t>
      </w:r>
      <w:r w:rsidRPr="007E4667">
        <w:rPr>
          <w:rFonts w:hint="eastAsia"/>
          <w:sz w:val="28"/>
          <w:szCs w:val="28"/>
        </w:rPr>
        <w:t>，虽比上年分别加快</w:t>
      </w:r>
      <w:r w:rsidRPr="007E4667">
        <w:rPr>
          <w:rFonts w:hint="eastAsia"/>
          <w:sz w:val="28"/>
          <w:szCs w:val="28"/>
        </w:rPr>
        <w:t>2.8</w:t>
      </w:r>
      <w:r w:rsidRPr="007E4667">
        <w:rPr>
          <w:rFonts w:hint="eastAsia"/>
          <w:sz w:val="28"/>
          <w:szCs w:val="28"/>
        </w:rPr>
        <w:t>和</w:t>
      </w:r>
      <w:r w:rsidRPr="007E4667">
        <w:rPr>
          <w:rFonts w:hint="eastAsia"/>
          <w:sz w:val="28"/>
          <w:szCs w:val="28"/>
        </w:rPr>
        <w:t>4.2</w:t>
      </w:r>
      <w:r w:rsidRPr="007E4667">
        <w:rPr>
          <w:rFonts w:hint="eastAsia"/>
          <w:sz w:val="28"/>
          <w:szCs w:val="28"/>
        </w:rPr>
        <w:t>个百分点，但却明显低于基础设施投资的增长。说明我们的经济增长仍然主要依靠国有投资和基础设施投资。</w:t>
      </w:r>
      <w:r>
        <w:rPr>
          <w:rFonts w:hint="eastAsia"/>
          <w:sz w:val="28"/>
          <w:szCs w:val="28"/>
        </w:rPr>
        <w:t>这可能是难以持续的。</w:t>
      </w:r>
    </w:p>
    <w:p w:rsidR="00AE60BB" w:rsidRPr="007E4667" w:rsidRDefault="00AE60BB" w:rsidP="00AE60BB">
      <w:pPr>
        <w:rPr>
          <w:sz w:val="28"/>
          <w:szCs w:val="28"/>
        </w:rPr>
      </w:pPr>
    </w:p>
    <w:p w:rsidR="00AE60BB" w:rsidRPr="007E4667" w:rsidRDefault="00AE60BB" w:rsidP="00AE60BB">
      <w:pPr>
        <w:pStyle w:val="a4"/>
        <w:numPr>
          <w:ilvl w:val="0"/>
          <w:numId w:val="4"/>
        </w:numPr>
        <w:ind w:firstLineChars="0"/>
        <w:rPr>
          <w:sz w:val="28"/>
          <w:szCs w:val="28"/>
        </w:rPr>
      </w:pPr>
      <w:r w:rsidRPr="007E4667">
        <w:rPr>
          <w:rFonts w:hint="eastAsia"/>
          <w:sz w:val="28"/>
          <w:szCs w:val="28"/>
        </w:rPr>
        <w:t>优化营商环境</w:t>
      </w:r>
    </w:p>
    <w:p w:rsidR="00AE60BB" w:rsidRPr="007E4667" w:rsidRDefault="00AE60BB" w:rsidP="00AE60BB">
      <w:pPr>
        <w:rPr>
          <w:sz w:val="28"/>
          <w:szCs w:val="28"/>
        </w:rPr>
      </w:pPr>
    </w:p>
    <w:p w:rsidR="00AE60BB" w:rsidRDefault="00AE60BB" w:rsidP="00AE60BB">
      <w:pPr>
        <w:ind w:firstLine="540"/>
        <w:rPr>
          <w:sz w:val="28"/>
          <w:szCs w:val="28"/>
        </w:rPr>
      </w:pPr>
      <w:r>
        <w:rPr>
          <w:rFonts w:hint="eastAsia"/>
          <w:sz w:val="28"/>
          <w:szCs w:val="28"/>
        </w:rPr>
        <w:t>最近以来，营商环境是人们比较关注的一个重要问题，也受到政府高层的重视。</w:t>
      </w:r>
      <w:proofErr w:type="gramStart"/>
      <w:r>
        <w:rPr>
          <w:rFonts w:hint="eastAsia"/>
          <w:sz w:val="28"/>
          <w:szCs w:val="28"/>
        </w:rPr>
        <w:t>据发改委</w:t>
      </w:r>
      <w:proofErr w:type="gramEnd"/>
      <w:r>
        <w:rPr>
          <w:rFonts w:hint="eastAsia"/>
          <w:sz w:val="28"/>
          <w:szCs w:val="28"/>
        </w:rPr>
        <w:t>发言人提供的数据，</w:t>
      </w:r>
      <w:r>
        <w:rPr>
          <w:rFonts w:hint="eastAsia"/>
          <w:sz w:val="28"/>
          <w:szCs w:val="28"/>
        </w:rPr>
        <w:t>5</w:t>
      </w:r>
      <w:r>
        <w:rPr>
          <w:rFonts w:hint="eastAsia"/>
          <w:sz w:val="28"/>
          <w:szCs w:val="28"/>
        </w:rPr>
        <w:t>年来，国务院部门行政审批事项削减</w:t>
      </w:r>
      <w:r>
        <w:rPr>
          <w:rFonts w:hint="eastAsia"/>
          <w:sz w:val="28"/>
          <w:szCs w:val="28"/>
        </w:rPr>
        <w:t>44%</w:t>
      </w:r>
      <w:r>
        <w:rPr>
          <w:rFonts w:hint="eastAsia"/>
          <w:sz w:val="28"/>
          <w:szCs w:val="28"/>
        </w:rPr>
        <w:t>，中央层面投资核准事项累计削减</w:t>
      </w:r>
      <w:r>
        <w:rPr>
          <w:rFonts w:hint="eastAsia"/>
          <w:sz w:val="28"/>
          <w:szCs w:val="28"/>
        </w:rPr>
        <w:t>90%</w:t>
      </w:r>
      <w:r>
        <w:rPr>
          <w:rFonts w:hint="eastAsia"/>
          <w:sz w:val="28"/>
          <w:szCs w:val="28"/>
        </w:rPr>
        <w:t>，中央政府定价项目缩减</w:t>
      </w:r>
      <w:r>
        <w:rPr>
          <w:rFonts w:hint="eastAsia"/>
          <w:sz w:val="28"/>
          <w:szCs w:val="28"/>
        </w:rPr>
        <w:t>80%</w:t>
      </w:r>
      <w:r>
        <w:rPr>
          <w:rFonts w:hint="eastAsia"/>
          <w:sz w:val="28"/>
          <w:szCs w:val="28"/>
        </w:rPr>
        <w:t>。这都是改善营商环境的重要措施。然而，“雪乡宰客”和“企业家质疑亚布力管委会”事件的发生，说明中央层面的“放管服”和简政改革并不能完全解决问题，现官和现管才是能否落实的关键，我们的营商环境还存在不少问题，也许东北更甚。因而，继中共中央国务院发布《关于完善产权保护制度依法保护产权》和《关于营造企业家健康成长环境弘扬优秀企业家精神更好发挥企业家作用的意见》两个重要文件，国务院又做出具体部署。今年</w:t>
      </w:r>
      <w:r>
        <w:rPr>
          <w:rFonts w:hint="eastAsia"/>
          <w:sz w:val="28"/>
          <w:szCs w:val="28"/>
        </w:rPr>
        <w:t>1</w:t>
      </w:r>
      <w:r>
        <w:rPr>
          <w:rFonts w:hint="eastAsia"/>
          <w:sz w:val="28"/>
          <w:szCs w:val="28"/>
        </w:rPr>
        <w:t>月</w:t>
      </w:r>
      <w:r>
        <w:rPr>
          <w:rFonts w:hint="eastAsia"/>
          <w:sz w:val="28"/>
          <w:szCs w:val="28"/>
        </w:rPr>
        <w:t>3</w:t>
      </w:r>
      <w:r>
        <w:rPr>
          <w:rFonts w:hint="eastAsia"/>
          <w:sz w:val="28"/>
          <w:szCs w:val="28"/>
        </w:rPr>
        <w:t>日，李克强总理主持国务院常务会议部署简政减费减税，进一步优化营商环境，持续激发市场活力和社会创造力。</w:t>
      </w:r>
    </w:p>
    <w:p w:rsidR="00AE60BB" w:rsidRDefault="00AE60BB" w:rsidP="00AE60BB">
      <w:pPr>
        <w:ind w:firstLine="540"/>
        <w:rPr>
          <w:sz w:val="28"/>
          <w:szCs w:val="28"/>
        </w:rPr>
      </w:pPr>
      <w:r>
        <w:rPr>
          <w:rFonts w:hint="eastAsia"/>
          <w:sz w:val="28"/>
          <w:szCs w:val="28"/>
        </w:rPr>
        <w:t>改善营商环境，落实产权保护是重要的关键。国务院常务会议也把“严格依法平等保护各类产权，加大知识产权保护力度”作为三大</w:t>
      </w:r>
      <w:r>
        <w:rPr>
          <w:rFonts w:hint="eastAsia"/>
          <w:sz w:val="28"/>
          <w:szCs w:val="28"/>
        </w:rPr>
        <w:lastRenderedPageBreak/>
        <w:t>举措之一。这就需要真正确立财产权神圣不可侵犯的理念，无论是公有产权，还是私有产权，都要同等加以保护。问题在于，自从马克思在《共产党宣言》中提出</w:t>
      </w:r>
      <w:r>
        <w:rPr>
          <w:rFonts w:hint="eastAsia"/>
          <w:sz w:val="28"/>
          <w:szCs w:val="28"/>
        </w:rPr>
        <w:t xml:space="preserve"> </w:t>
      </w:r>
      <w:r>
        <w:rPr>
          <w:rFonts w:hint="eastAsia"/>
          <w:sz w:val="28"/>
          <w:szCs w:val="28"/>
        </w:rPr>
        <w:t>“共产党人可以用一句话把自己的理论概括起来：消灭私有制”以后，这就成为共产党人的根本宗旨和行动指南，事实上，计划经济建立的过程就是私人产权消灭的过程。其实这是误读。这里的“消灭”，德文原意是扬弃、保留、提高的意思。从计划经济向市场经济转型实际上是从消灭私有产权到重新确立私有产权，尊重和扩大个人的经济自由。这也是中国经济</w:t>
      </w:r>
      <w:r>
        <w:rPr>
          <w:rFonts w:hint="eastAsia"/>
          <w:sz w:val="28"/>
          <w:szCs w:val="28"/>
        </w:rPr>
        <w:t>30</w:t>
      </w:r>
      <w:r>
        <w:rPr>
          <w:rFonts w:hint="eastAsia"/>
          <w:sz w:val="28"/>
          <w:szCs w:val="28"/>
        </w:rPr>
        <w:t>年高速增长的秘密。然而，由于传统观念作怪，在走向市场经济的过程中，仍然发生了一系列侵犯私人产权的事件，最突出的是政府官员凭借手中权力，利用各种借口，整倒不少企业家，侵犯企业家的财产。从改革开放初期温州的“八大王”事件，到重庆的“扫黄打黑”，从顾雏军案、曾成杰案，到最近的亚布力事件。因此，从纠正这些冤假错案入手，是落实保护产权的最好突破口。好在，最近最高法院着手解决这一问题，宣布重审顾雏军案，派员赴浙江</w:t>
      </w:r>
      <w:proofErr w:type="gramStart"/>
      <w:r>
        <w:rPr>
          <w:rFonts w:hint="eastAsia"/>
          <w:sz w:val="28"/>
          <w:szCs w:val="28"/>
        </w:rPr>
        <w:t>听证吴英诉</w:t>
      </w:r>
      <w:proofErr w:type="gramEnd"/>
      <w:r>
        <w:rPr>
          <w:rFonts w:hint="eastAsia"/>
          <w:sz w:val="28"/>
          <w:szCs w:val="28"/>
        </w:rPr>
        <w:t>东阳市政府案，细致询问吴</w:t>
      </w:r>
      <w:proofErr w:type="gramStart"/>
      <w:r>
        <w:rPr>
          <w:rFonts w:hint="eastAsia"/>
          <w:sz w:val="28"/>
          <w:szCs w:val="28"/>
        </w:rPr>
        <w:t>英资产</w:t>
      </w:r>
      <w:proofErr w:type="gramEnd"/>
      <w:r>
        <w:rPr>
          <w:rFonts w:hint="eastAsia"/>
          <w:sz w:val="28"/>
          <w:szCs w:val="28"/>
        </w:rPr>
        <w:t>现状，就是证明。</w:t>
      </w:r>
    </w:p>
    <w:p w:rsidR="00AE60BB" w:rsidRDefault="00AE60BB" w:rsidP="00AE60BB">
      <w:pPr>
        <w:ind w:firstLine="540"/>
        <w:rPr>
          <w:sz w:val="28"/>
          <w:szCs w:val="28"/>
        </w:rPr>
      </w:pPr>
      <w:r>
        <w:rPr>
          <w:rFonts w:hint="eastAsia"/>
          <w:sz w:val="28"/>
          <w:szCs w:val="28"/>
        </w:rPr>
        <w:t>有人说，这只是一种手段，一种工具性思维，是经济下行、资本外流情况下的一种应急措施，不是要确立根本性制度安排。其实，我们的很多事情都是如此。当年邓小平决定实行市场经济体制，就是一种市场经济工具论的做法，这从邓小平南巡前后的讲话就可得到证明。但结果是推进了中国的市场化进程。其实，评价一件事情不是看它的目的是什么，而是看他采取什么手段达到自己的目的，这个手段是否</w:t>
      </w:r>
      <w:r>
        <w:rPr>
          <w:rFonts w:hint="eastAsia"/>
          <w:sz w:val="28"/>
          <w:szCs w:val="28"/>
        </w:rPr>
        <w:lastRenderedPageBreak/>
        <w:t>符合人类普遍认可的规则，可见，手段可能比目的更重要。我们提出和确立的很多目标都很好，但实施手段不当，往往事与愿违，南辕北辙。因此，不管出发点如何，背后的考虑如何，这一次采取的手段是对的，因而在产权保护方面也会有所前进。只是希望能够持之以恒，形成制度，把好事做到底。</w:t>
      </w:r>
    </w:p>
    <w:p w:rsidR="00AE60BB" w:rsidRDefault="00AE60BB" w:rsidP="00AE60BB">
      <w:pPr>
        <w:ind w:firstLine="540"/>
        <w:rPr>
          <w:sz w:val="28"/>
          <w:szCs w:val="28"/>
        </w:rPr>
      </w:pPr>
      <w:r>
        <w:rPr>
          <w:rFonts w:hint="eastAsia"/>
          <w:sz w:val="28"/>
          <w:szCs w:val="28"/>
        </w:rPr>
        <w:t>与此相关，十九大报告提出要进行违宪审查。这是确立法治秩序，依法治国的根本大计。最近三、四十年来，我国出台的法律、法规是最多的，取得的成绩和进步是明显的。但是，由于时间较紧，准备不足，知识储备不够，特别是观念还有差距，因而，很多法律法规存在着明显的缺陷，其中有一些并非良法，而是恶法，直接侵犯了老百姓的人权和产权。再加上政府官员的自由裁量权过大，侵犯人权和产权的事情时有发生。据透露，最近几年来人们提出的违宪审查案件有数千起，最近公布受理了</w:t>
      </w:r>
      <w:r>
        <w:rPr>
          <w:rFonts w:hint="eastAsia"/>
          <w:sz w:val="28"/>
          <w:szCs w:val="28"/>
        </w:rPr>
        <w:t>5</w:t>
      </w:r>
      <w:r>
        <w:rPr>
          <w:rFonts w:hint="eastAsia"/>
          <w:sz w:val="28"/>
          <w:szCs w:val="28"/>
        </w:rPr>
        <w:t>起。这是一个进步的开端。应尽快建立违宪审查机构，从那些影响较大的</w:t>
      </w:r>
      <w:proofErr w:type="gramStart"/>
      <w:r>
        <w:rPr>
          <w:rFonts w:hint="eastAsia"/>
          <w:sz w:val="28"/>
          <w:szCs w:val="28"/>
        </w:rPr>
        <w:t>违宪法规</w:t>
      </w:r>
      <w:proofErr w:type="gramEnd"/>
      <w:r>
        <w:rPr>
          <w:rFonts w:hint="eastAsia"/>
          <w:sz w:val="28"/>
          <w:szCs w:val="28"/>
        </w:rPr>
        <w:t>着手，公开听证，进行讨论，做出裁决，予以废除。这不仅能够推动营商环境的改善，而且更是我国法治的重大进步。人们对此寄厚望！</w:t>
      </w:r>
    </w:p>
    <w:p w:rsidR="00AE60BB" w:rsidRDefault="00AE60BB" w:rsidP="00AE60BB">
      <w:pPr>
        <w:ind w:firstLine="540"/>
        <w:rPr>
          <w:sz w:val="28"/>
          <w:szCs w:val="28"/>
        </w:rPr>
      </w:pPr>
      <w:r>
        <w:rPr>
          <w:rFonts w:hint="eastAsia"/>
          <w:sz w:val="28"/>
          <w:szCs w:val="28"/>
        </w:rPr>
        <w:t>营商环境涉及的方面很多，其中重要的一条是税负的轻重。因为税负是政府对私人产权的删除和限制，直接构成营商成本的重要组成部分。大家想一想，改革开放以来，我们靠什么吸引外资？各地都靠税收的三减两免，土地七通</w:t>
      </w:r>
      <w:proofErr w:type="gramStart"/>
      <w:r>
        <w:rPr>
          <w:rFonts w:hint="eastAsia"/>
          <w:sz w:val="28"/>
          <w:szCs w:val="28"/>
        </w:rPr>
        <w:t>一</w:t>
      </w:r>
      <w:proofErr w:type="gramEnd"/>
      <w:r>
        <w:rPr>
          <w:rFonts w:hint="eastAsia"/>
          <w:sz w:val="28"/>
          <w:szCs w:val="28"/>
        </w:rPr>
        <w:t>平和低价优惠、低工资又没有社会保障，现在一些外资其所以撤离，内资也到国外投资，也是因为税负较重，地价上涨，劳工成本增加。国务院关于进一步加大吸引外资和优化营</w:t>
      </w:r>
      <w:r>
        <w:rPr>
          <w:rFonts w:hint="eastAsia"/>
          <w:sz w:val="28"/>
          <w:szCs w:val="28"/>
        </w:rPr>
        <w:lastRenderedPageBreak/>
        <w:t>商环境的文件，也把简政减费减税作为最重要的一条。近几年来，政府也一再推出减费减税措施，</w:t>
      </w:r>
      <w:r>
        <w:rPr>
          <w:rFonts w:hint="eastAsia"/>
          <w:sz w:val="28"/>
          <w:szCs w:val="28"/>
        </w:rPr>
        <w:t>2016</w:t>
      </w:r>
      <w:r>
        <w:rPr>
          <w:rFonts w:hint="eastAsia"/>
          <w:sz w:val="28"/>
          <w:szCs w:val="28"/>
        </w:rPr>
        <w:t>年</w:t>
      </w:r>
      <w:proofErr w:type="gramStart"/>
      <w:r>
        <w:rPr>
          <w:rFonts w:hint="eastAsia"/>
          <w:sz w:val="28"/>
          <w:szCs w:val="28"/>
        </w:rPr>
        <w:t>营改增</w:t>
      </w:r>
      <w:proofErr w:type="gramEnd"/>
      <w:r>
        <w:rPr>
          <w:rFonts w:hint="eastAsia"/>
          <w:sz w:val="28"/>
          <w:szCs w:val="28"/>
        </w:rPr>
        <w:t>，据说减税</w:t>
      </w:r>
      <w:r>
        <w:rPr>
          <w:rFonts w:hint="eastAsia"/>
          <w:sz w:val="28"/>
          <w:szCs w:val="28"/>
        </w:rPr>
        <w:t>6000</w:t>
      </w:r>
      <w:r>
        <w:rPr>
          <w:rFonts w:hint="eastAsia"/>
          <w:sz w:val="28"/>
          <w:szCs w:val="28"/>
        </w:rPr>
        <w:t>亿元，然而据实地调查，不少企业税负未减，有的企业不减反增。</w:t>
      </w:r>
      <w:r>
        <w:rPr>
          <w:rFonts w:hint="eastAsia"/>
          <w:sz w:val="28"/>
          <w:szCs w:val="28"/>
        </w:rPr>
        <w:t>2017</w:t>
      </w:r>
      <w:r>
        <w:rPr>
          <w:rFonts w:hint="eastAsia"/>
          <w:sz w:val="28"/>
          <w:szCs w:val="28"/>
        </w:rPr>
        <w:t>年，政府又提出给企业减税</w:t>
      </w:r>
      <w:r>
        <w:rPr>
          <w:rFonts w:hint="eastAsia"/>
          <w:sz w:val="28"/>
          <w:szCs w:val="28"/>
        </w:rPr>
        <w:t>10000</w:t>
      </w:r>
      <w:r>
        <w:rPr>
          <w:rFonts w:hint="eastAsia"/>
          <w:sz w:val="28"/>
          <w:szCs w:val="28"/>
        </w:rPr>
        <w:t>亿元，但实际情况是，全年</w:t>
      </w:r>
      <w:r>
        <w:rPr>
          <w:rFonts w:hint="eastAsia"/>
          <w:sz w:val="28"/>
          <w:szCs w:val="28"/>
        </w:rPr>
        <w:t>GDP</w:t>
      </w:r>
      <w:r>
        <w:rPr>
          <w:rFonts w:hint="eastAsia"/>
          <w:sz w:val="28"/>
          <w:szCs w:val="28"/>
        </w:rPr>
        <w:t>增长</w:t>
      </w:r>
      <w:r>
        <w:rPr>
          <w:rFonts w:hint="eastAsia"/>
          <w:sz w:val="28"/>
          <w:szCs w:val="28"/>
        </w:rPr>
        <w:t>6.9%</w:t>
      </w:r>
      <w:r>
        <w:rPr>
          <w:rFonts w:hint="eastAsia"/>
          <w:sz w:val="28"/>
          <w:szCs w:val="28"/>
        </w:rPr>
        <w:t>，而</w:t>
      </w:r>
      <w:r>
        <w:rPr>
          <w:rFonts w:hint="eastAsia"/>
          <w:sz w:val="28"/>
          <w:szCs w:val="28"/>
        </w:rPr>
        <w:t>1-11</w:t>
      </w:r>
      <w:r>
        <w:rPr>
          <w:rFonts w:hint="eastAsia"/>
          <w:sz w:val="28"/>
          <w:szCs w:val="28"/>
        </w:rPr>
        <w:t>月政府一般预算收入增长</w:t>
      </w:r>
      <w:r>
        <w:rPr>
          <w:rFonts w:hint="eastAsia"/>
          <w:sz w:val="28"/>
          <w:szCs w:val="28"/>
        </w:rPr>
        <w:t>8.4%</w:t>
      </w:r>
      <w:r>
        <w:rPr>
          <w:rFonts w:hint="eastAsia"/>
          <w:sz w:val="28"/>
          <w:szCs w:val="28"/>
        </w:rPr>
        <w:t>，其中税收收入增长</w:t>
      </w:r>
      <w:r>
        <w:rPr>
          <w:rFonts w:hint="eastAsia"/>
          <w:sz w:val="28"/>
          <w:szCs w:val="28"/>
        </w:rPr>
        <w:t>11.2%</w:t>
      </w:r>
      <w:r>
        <w:rPr>
          <w:rFonts w:hint="eastAsia"/>
          <w:sz w:val="28"/>
          <w:szCs w:val="28"/>
        </w:rPr>
        <w:t>，分别是</w:t>
      </w:r>
      <w:r>
        <w:rPr>
          <w:rFonts w:hint="eastAsia"/>
          <w:sz w:val="28"/>
          <w:szCs w:val="28"/>
        </w:rPr>
        <w:t>GDP</w:t>
      </w:r>
      <w:r>
        <w:rPr>
          <w:rFonts w:hint="eastAsia"/>
          <w:sz w:val="28"/>
          <w:szCs w:val="28"/>
        </w:rPr>
        <w:t>增长率的</w:t>
      </w:r>
      <w:r>
        <w:rPr>
          <w:rFonts w:hint="eastAsia"/>
          <w:sz w:val="28"/>
          <w:szCs w:val="28"/>
        </w:rPr>
        <w:t>1.22</w:t>
      </w:r>
      <w:r>
        <w:rPr>
          <w:rFonts w:hint="eastAsia"/>
          <w:sz w:val="28"/>
          <w:szCs w:val="28"/>
        </w:rPr>
        <w:t>倍和</w:t>
      </w:r>
      <w:r>
        <w:rPr>
          <w:rFonts w:hint="eastAsia"/>
          <w:sz w:val="28"/>
          <w:szCs w:val="28"/>
        </w:rPr>
        <w:t>1.62</w:t>
      </w:r>
      <w:r>
        <w:rPr>
          <w:rFonts w:hint="eastAsia"/>
          <w:sz w:val="28"/>
          <w:szCs w:val="28"/>
        </w:rPr>
        <w:t>倍，基本上保持了近</w:t>
      </w:r>
      <w:r>
        <w:rPr>
          <w:rFonts w:hint="eastAsia"/>
          <w:sz w:val="28"/>
          <w:szCs w:val="28"/>
        </w:rPr>
        <w:t>30</w:t>
      </w:r>
      <w:r>
        <w:rPr>
          <w:rFonts w:hint="eastAsia"/>
          <w:sz w:val="28"/>
          <w:szCs w:val="28"/>
        </w:rPr>
        <w:t>年来的一贯态势。</w:t>
      </w:r>
      <w:r>
        <w:rPr>
          <w:rFonts w:hint="eastAsia"/>
          <w:sz w:val="28"/>
          <w:szCs w:val="28"/>
        </w:rPr>
        <w:t>1-11</w:t>
      </w:r>
      <w:r>
        <w:rPr>
          <w:rFonts w:hint="eastAsia"/>
          <w:sz w:val="28"/>
          <w:szCs w:val="28"/>
        </w:rPr>
        <w:t>月，国有及国有控股企业的税收增长了</w:t>
      </w:r>
      <w:r>
        <w:rPr>
          <w:rFonts w:hint="eastAsia"/>
          <w:sz w:val="28"/>
          <w:szCs w:val="28"/>
        </w:rPr>
        <w:t>4.4%</w:t>
      </w:r>
      <w:r>
        <w:rPr>
          <w:rFonts w:hint="eastAsia"/>
          <w:sz w:val="28"/>
          <w:szCs w:val="28"/>
        </w:rPr>
        <w:t>，民营企业的税收增长了</w:t>
      </w:r>
      <w:r>
        <w:rPr>
          <w:rFonts w:hint="eastAsia"/>
          <w:sz w:val="28"/>
          <w:szCs w:val="28"/>
        </w:rPr>
        <w:t>15.9%</w:t>
      </w:r>
      <w:r>
        <w:rPr>
          <w:rFonts w:hint="eastAsia"/>
          <w:sz w:val="28"/>
          <w:szCs w:val="28"/>
        </w:rPr>
        <w:t>，而国有控股工业企业的利润增长了</w:t>
      </w:r>
      <w:r>
        <w:rPr>
          <w:rFonts w:hint="eastAsia"/>
          <w:sz w:val="28"/>
          <w:szCs w:val="28"/>
        </w:rPr>
        <w:t>50%</w:t>
      </w:r>
      <w:r>
        <w:rPr>
          <w:rFonts w:hint="eastAsia"/>
          <w:sz w:val="28"/>
          <w:szCs w:val="28"/>
        </w:rPr>
        <w:t>左右，民营企业的利润只增长了</w:t>
      </w:r>
      <w:r>
        <w:rPr>
          <w:rFonts w:hint="eastAsia"/>
          <w:sz w:val="28"/>
          <w:szCs w:val="28"/>
        </w:rPr>
        <w:t>15%</w:t>
      </w:r>
      <w:r>
        <w:rPr>
          <w:rFonts w:hint="eastAsia"/>
          <w:sz w:val="28"/>
          <w:szCs w:val="28"/>
        </w:rPr>
        <w:t>左右。这也透露出平等保护产权存在的问题。所以，增税容易</w:t>
      </w:r>
      <w:proofErr w:type="gramStart"/>
      <w:r>
        <w:rPr>
          <w:rFonts w:hint="eastAsia"/>
          <w:sz w:val="28"/>
          <w:szCs w:val="28"/>
        </w:rPr>
        <w:t>减税难</w:t>
      </w:r>
      <w:proofErr w:type="gramEnd"/>
      <w:r>
        <w:rPr>
          <w:rFonts w:hint="eastAsia"/>
          <w:sz w:val="28"/>
          <w:szCs w:val="28"/>
        </w:rPr>
        <w:t>是一个不争的事实。而对国企减税易，对民企减税难，则是中国的一大特色。在这种情况下，最近又开征了环境保护税。</w:t>
      </w:r>
      <w:proofErr w:type="gramStart"/>
      <w:r>
        <w:rPr>
          <w:rFonts w:hint="eastAsia"/>
          <w:sz w:val="28"/>
          <w:szCs w:val="28"/>
        </w:rPr>
        <w:t>不是说环保税</w:t>
      </w:r>
      <w:proofErr w:type="gramEnd"/>
      <w:r>
        <w:rPr>
          <w:rFonts w:hint="eastAsia"/>
          <w:sz w:val="28"/>
          <w:szCs w:val="28"/>
        </w:rPr>
        <w:t>不该征，而是说在开征新税的同时，如何去除旧税，同时实行减税。</w:t>
      </w:r>
    </w:p>
    <w:p w:rsidR="00AE60BB" w:rsidRPr="00B000DE" w:rsidRDefault="00AE60BB" w:rsidP="00AE60BB">
      <w:pPr>
        <w:ind w:firstLine="540"/>
        <w:rPr>
          <w:sz w:val="28"/>
          <w:szCs w:val="28"/>
        </w:rPr>
      </w:pPr>
      <w:r>
        <w:rPr>
          <w:rFonts w:hint="eastAsia"/>
          <w:sz w:val="28"/>
          <w:szCs w:val="28"/>
        </w:rPr>
        <w:t>大家知道，</w:t>
      </w:r>
      <w:proofErr w:type="gramStart"/>
      <w:r>
        <w:rPr>
          <w:rFonts w:hint="eastAsia"/>
          <w:sz w:val="28"/>
          <w:szCs w:val="28"/>
        </w:rPr>
        <w:t>特朗普</w:t>
      </w:r>
      <w:proofErr w:type="gramEnd"/>
      <w:r>
        <w:rPr>
          <w:rFonts w:hint="eastAsia"/>
          <w:sz w:val="28"/>
          <w:szCs w:val="28"/>
        </w:rPr>
        <w:t>减税法案经过全国讨论、国会通过、总统签署实施，我们的报纸一片质疑和批评，是否也应当思考一下，我们从中可以学到什么？一是全国公开辩论，各种反对的意见都可以公开发表，因为税收关系到每个人的切身利益，纳税人有权参与，这也符合无代表不纳税的原则。二是减税的效果已经显现，且不说福耀玻璃、三星、富士康等去美国投资，据说平果公司要把海外</w:t>
      </w:r>
      <w:r>
        <w:rPr>
          <w:rFonts w:hint="eastAsia"/>
          <w:sz w:val="28"/>
          <w:szCs w:val="28"/>
        </w:rPr>
        <w:t>2000</w:t>
      </w:r>
      <w:r>
        <w:rPr>
          <w:rFonts w:hint="eastAsia"/>
          <w:sz w:val="28"/>
          <w:szCs w:val="28"/>
        </w:rPr>
        <w:t>亿美元的利润汇回美国，至于对</w:t>
      </w:r>
      <w:r>
        <w:rPr>
          <w:rFonts w:hint="eastAsia"/>
          <w:sz w:val="28"/>
          <w:szCs w:val="28"/>
        </w:rPr>
        <w:t>GDP</w:t>
      </w:r>
      <w:r>
        <w:rPr>
          <w:rFonts w:hint="eastAsia"/>
          <w:sz w:val="28"/>
          <w:szCs w:val="28"/>
        </w:rPr>
        <w:t>的影响，虽然估计差距很大，从</w:t>
      </w:r>
      <w:r>
        <w:rPr>
          <w:rFonts w:hint="eastAsia"/>
          <w:sz w:val="28"/>
          <w:szCs w:val="28"/>
        </w:rPr>
        <w:t>0.2%</w:t>
      </w:r>
      <w:r>
        <w:rPr>
          <w:rFonts w:hint="eastAsia"/>
          <w:sz w:val="28"/>
          <w:szCs w:val="28"/>
        </w:rPr>
        <w:t>到</w:t>
      </w:r>
      <w:r>
        <w:rPr>
          <w:rFonts w:hint="eastAsia"/>
          <w:sz w:val="28"/>
          <w:szCs w:val="28"/>
        </w:rPr>
        <w:t>7%</w:t>
      </w:r>
      <w:r>
        <w:rPr>
          <w:rFonts w:hint="eastAsia"/>
          <w:sz w:val="28"/>
          <w:szCs w:val="28"/>
        </w:rPr>
        <w:t>，我们没有根据相信其中那个，取中间值总可以吧，那也是</w:t>
      </w:r>
      <w:r>
        <w:rPr>
          <w:rFonts w:hint="eastAsia"/>
          <w:sz w:val="28"/>
          <w:szCs w:val="28"/>
        </w:rPr>
        <w:t>3-4</w:t>
      </w:r>
      <w:r>
        <w:rPr>
          <w:rFonts w:hint="eastAsia"/>
          <w:sz w:val="28"/>
          <w:szCs w:val="28"/>
        </w:rPr>
        <w:t>个点，不小了。三是简化手续，这是人们忽视的一个重要方面，过去报税的文</w:t>
      </w:r>
      <w:r>
        <w:rPr>
          <w:rFonts w:hint="eastAsia"/>
          <w:sz w:val="28"/>
          <w:szCs w:val="28"/>
        </w:rPr>
        <w:lastRenderedPageBreak/>
        <w:t>件数十上百页，一般人根本搞不懂，只好让律师去打理。现在简化成一张卡片纸，一目了然。这真正是替纳税人考虑。四是</w:t>
      </w:r>
      <w:proofErr w:type="gramStart"/>
      <w:r>
        <w:rPr>
          <w:rFonts w:hint="eastAsia"/>
          <w:sz w:val="28"/>
          <w:szCs w:val="28"/>
        </w:rPr>
        <w:t>特朗普公开</w:t>
      </w:r>
      <w:proofErr w:type="gramEnd"/>
      <w:r>
        <w:rPr>
          <w:rFonts w:hint="eastAsia"/>
          <w:sz w:val="28"/>
          <w:szCs w:val="28"/>
        </w:rPr>
        <w:t>宣示，为中产阶级或者富人减税。因为创造税收和交纳税收的主要是中产阶级或者富人。这是找准了减税的主要对象。千万不要拿我们的标准（实际是意识形态）去衡量他人。五是我们总是宣染</w:t>
      </w:r>
      <w:proofErr w:type="gramStart"/>
      <w:r>
        <w:rPr>
          <w:rFonts w:hint="eastAsia"/>
          <w:sz w:val="28"/>
          <w:szCs w:val="28"/>
        </w:rPr>
        <w:t>特朗普</w:t>
      </w:r>
      <w:proofErr w:type="gramEnd"/>
      <w:r>
        <w:rPr>
          <w:rFonts w:hint="eastAsia"/>
          <w:sz w:val="28"/>
          <w:szCs w:val="28"/>
        </w:rPr>
        <w:t>减税会引起国际税收大战，破坏国际税收秩序。事实上，日本、英国等也提出减税，有可能形成一个减税的国际浪潮。这没有什么不好，也不存在什么国际税收秩序，无论是发达国家，还是新兴市场经济国家，政府的规模已经很大，还在不断扩张，干了不少扭曲市场、干扰和侵害老百姓的事情，现在</w:t>
      </w:r>
      <w:proofErr w:type="gramStart"/>
      <w:r>
        <w:rPr>
          <w:rFonts w:hint="eastAsia"/>
          <w:sz w:val="28"/>
          <w:szCs w:val="28"/>
        </w:rPr>
        <w:t>在</w:t>
      </w:r>
      <w:proofErr w:type="gramEnd"/>
      <w:r>
        <w:rPr>
          <w:rFonts w:hint="eastAsia"/>
          <w:sz w:val="28"/>
          <w:szCs w:val="28"/>
        </w:rPr>
        <w:t>美国的带头和压力下减税，让利于民，有什么不好呢？我们首先应当研究如何向人家学习，如何进一步真正减税，其次也要做些准备，因为未来总是不确定的，万一美国减税出了不可预料的问题，我们该如何应对。</w:t>
      </w:r>
    </w:p>
    <w:p w:rsidR="00AE60BB" w:rsidRDefault="00AE60BB" w:rsidP="00AE60BB">
      <w:pPr>
        <w:ind w:firstLine="540"/>
        <w:rPr>
          <w:sz w:val="28"/>
          <w:szCs w:val="28"/>
        </w:rPr>
      </w:pPr>
    </w:p>
    <w:p w:rsidR="00AE60BB" w:rsidRPr="007E4667" w:rsidRDefault="00AE60BB" w:rsidP="00AE60BB">
      <w:pPr>
        <w:pStyle w:val="a4"/>
        <w:numPr>
          <w:ilvl w:val="0"/>
          <w:numId w:val="4"/>
        </w:numPr>
        <w:ind w:firstLineChars="0"/>
        <w:rPr>
          <w:sz w:val="28"/>
          <w:szCs w:val="28"/>
        </w:rPr>
      </w:pPr>
      <w:r w:rsidRPr="007E4667">
        <w:rPr>
          <w:rFonts w:hint="eastAsia"/>
          <w:sz w:val="28"/>
          <w:szCs w:val="28"/>
        </w:rPr>
        <w:t>推动创新发展</w:t>
      </w:r>
    </w:p>
    <w:p w:rsidR="00AE60BB" w:rsidRPr="007E4667" w:rsidRDefault="00AE60BB" w:rsidP="00AE60BB">
      <w:pPr>
        <w:pStyle w:val="a4"/>
        <w:ind w:left="720" w:firstLineChars="0" w:firstLine="0"/>
        <w:rPr>
          <w:sz w:val="28"/>
          <w:szCs w:val="28"/>
        </w:rPr>
      </w:pPr>
    </w:p>
    <w:p w:rsidR="00AE60BB" w:rsidRPr="007E4667" w:rsidRDefault="00AE60BB" w:rsidP="00AE60BB">
      <w:pPr>
        <w:ind w:firstLine="540"/>
        <w:rPr>
          <w:sz w:val="28"/>
          <w:szCs w:val="28"/>
        </w:rPr>
      </w:pPr>
      <w:r>
        <w:rPr>
          <w:rFonts w:hint="eastAsia"/>
          <w:sz w:val="28"/>
          <w:szCs w:val="28"/>
        </w:rPr>
        <w:t>当前，</w:t>
      </w:r>
      <w:r w:rsidRPr="007E4667">
        <w:rPr>
          <w:rFonts w:hint="eastAsia"/>
          <w:sz w:val="28"/>
          <w:szCs w:val="28"/>
        </w:rPr>
        <w:t>数字经济的发展</w:t>
      </w:r>
      <w:r>
        <w:rPr>
          <w:rFonts w:hint="eastAsia"/>
          <w:sz w:val="28"/>
          <w:szCs w:val="28"/>
        </w:rPr>
        <w:t>如火如荼，成为全球主要大国竞逐的高地和重塑全球竞争力的共同选择。</w:t>
      </w:r>
      <w:r w:rsidRPr="007E4667">
        <w:rPr>
          <w:rFonts w:hint="eastAsia"/>
          <w:sz w:val="28"/>
          <w:szCs w:val="28"/>
        </w:rPr>
        <w:t>据第四届世界互联网大会上发布的《世界互联网发展报告</w:t>
      </w:r>
      <w:r w:rsidRPr="007E4667">
        <w:rPr>
          <w:rFonts w:hint="eastAsia"/>
          <w:sz w:val="28"/>
          <w:szCs w:val="28"/>
        </w:rPr>
        <w:t>2017</w:t>
      </w:r>
      <w:r w:rsidRPr="007E4667">
        <w:rPr>
          <w:rFonts w:hint="eastAsia"/>
          <w:sz w:val="28"/>
          <w:szCs w:val="28"/>
        </w:rPr>
        <w:t>》和《中国互联网发展报告</w:t>
      </w:r>
      <w:r w:rsidRPr="007E4667">
        <w:rPr>
          <w:rFonts w:hint="eastAsia"/>
          <w:sz w:val="28"/>
          <w:szCs w:val="28"/>
        </w:rPr>
        <w:t>2017</w:t>
      </w:r>
      <w:r w:rsidRPr="007E4667">
        <w:rPr>
          <w:rFonts w:hint="eastAsia"/>
          <w:sz w:val="28"/>
          <w:szCs w:val="28"/>
        </w:rPr>
        <w:t>》提供的数据，</w:t>
      </w:r>
      <w:r>
        <w:rPr>
          <w:rFonts w:hint="eastAsia"/>
          <w:sz w:val="28"/>
          <w:szCs w:val="28"/>
        </w:rPr>
        <w:t>现在</w:t>
      </w:r>
      <w:r w:rsidRPr="007E4667">
        <w:rPr>
          <w:rFonts w:hint="eastAsia"/>
          <w:sz w:val="28"/>
          <w:szCs w:val="28"/>
        </w:rPr>
        <w:t>全球</w:t>
      </w:r>
      <w:r w:rsidRPr="007E4667">
        <w:rPr>
          <w:rFonts w:hint="eastAsia"/>
          <w:sz w:val="28"/>
          <w:szCs w:val="28"/>
        </w:rPr>
        <w:t>GDP</w:t>
      </w:r>
      <w:r w:rsidRPr="007E4667">
        <w:rPr>
          <w:rFonts w:hint="eastAsia"/>
          <w:sz w:val="28"/>
          <w:szCs w:val="28"/>
        </w:rPr>
        <w:t>的</w:t>
      </w:r>
      <w:r w:rsidRPr="007E4667">
        <w:rPr>
          <w:rFonts w:hint="eastAsia"/>
          <w:sz w:val="28"/>
          <w:szCs w:val="28"/>
        </w:rPr>
        <w:t>22%</w:t>
      </w:r>
      <w:r w:rsidRPr="007E4667">
        <w:rPr>
          <w:rFonts w:hint="eastAsia"/>
          <w:sz w:val="28"/>
          <w:szCs w:val="28"/>
        </w:rPr>
        <w:t>与涵盖技能和资本的数字经济紧密相关。</w:t>
      </w:r>
      <w:r w:rsidRPr="007E4667">
        <w:rPr>
          <w:rFonts w:hint="eastAsia"/>
          <w:sz w:val="28"/>
          <w:szCs w:val="28"/>
        </w:rPr>
        <w:t>2016</w:t>
      </w:r>
      <w:r w:rsidRPr="007E4667">
        <w:rPr>
          <w:rFonts w:hint="eastAsia"/>
          <w:sz w:val="28"/>
          <w:szCs w:val="28"/>
        </w:rPr>
        <w:t>年中国数字经济规模总量达</w:t>
      </w:r>
      <w:r w:rsidRPr="007E4667">
        <w:rPr>
          <w:rFonts w:hint="eastAsia"/>
          <w:sz w:val="28"/>
          <w:szCs w:val="28"/>
        </w:rPr>
        <w:t>22.58</w:t>
      </w:r>
      <w:proofErr w:type="gramStart"/>
      <w:r w:rsidRPr="007E4667">
        <w:rPr>
          <w:rFonts w:hint="eastAsia"/>
          <w:sz w:val="28"/>
          <w:szCs w:val="28"/>
        </w:rPr>
        <w:t>万亿</w:t>
      </w:r>
      <w:proofErr w:type="gramEnd"/>
      <w:r w:rsidRPr="007E4667">
        <w:rPr>
          <w:rFonts w:hint="eastAsia"/>
          <w:sz w:val="28"/>
          <w:szCs w:val="28"/>
        </w:rPr>
        <w:t>元，跃居全球第二，占</w:t>
      </w:r>
      <w:r w:rsidRPr="007E4667">
        <w:rPr>
          <w:rFonts w:hint="eastAsia"/>
          <w:sz w:val="28"/>
          <w:szCs w:val="28"/>
        </w:rPr>
        <w:t>GDP</w:t>
      </w:r>
      <w:r w:rsidRPr="007E4667">
        <w:rPr>
          <w:rFonts w:hint="eastAsia"/>
          <w:sz w:val="28"/>
          <w:szCs w:val="28"/>
        </w:rPr>
        <w:t>比例达</w:t>
      </w:r>
      <w:r w:rsidRPr="007E4667">
        <w:rPr>
          <w:rFonts w:hint="eastAsia"/>
          <w:sz w:val="28"/>
          <w:szCs w:val="28"/>
        </w:rPr>
        <w:t>30.3%</w:t>
      </w:r>
      <w:r w:rsidRPr="007E4667">
        <w:rPr>
          <w:rFonts w:hint="eastAsia"/>
          <w:sz w:val="28"/>
          <w:szCs w:val="28"/>
        </w:rPr>
        <w:t>。另据麦肯锡</w:t>
      </w:r>
      <w:r w:rsidRPr="007E4667">
        <w:rPr>
          <w:rFonts w:hint="eastAsia"/>
          <w:sz w:val="28"/>
          <w:szCs w:val="28"/>
        </w:rPr>
        <w:t>2017</w:t>
      </w:r>
      <w:r w:rsidRPr="007E4667">
        <w:rPr>
          <w:rFonts w:hint="eastAsia"/>
          <w:sz w:val="28"/>
          <w:szCs w:val="28"/>
        </w:rPr>
        <w:t>年</w:t>
      </w:r>
      <w:r w:rsidRPr="007E4667">
        <w:rPr>
          <w:rFonts w:hint="eastAsia"/>
          <w:sz w:val="28"/>
          <w:szCs w:val="28"/>
        </w:rPr>
        <w:t>12</w:t>
      </w:r>
      <w:r w:rsidRPr="007E4667">
        <w:rPr>
          <w:rFonts w:hint="eastAsia"/>
          <w:sz w:val="28"/>
          <w:szCs w:val="28"/>
        </w:rPr>
        <w:t>月</w:t>
      </w:r>
      <w:r w:rsidRPr="007E4667">
        <w:rPr>
          <w:rFonts w:hint="eastAsia"/>
          <w:sz w:val="28"/>
          <w:szCs w:val="28"/>
        </w:rPr>
        <w:t>4</w:t>
      </w:r>
      <w:r w:rsidRPr="007E4667">
        <w:rPr>
          <w:rFonts w:hint="eastAsia"/>
          <w:sz w:val="28"/>
          <w:szCs w:val="28"/>
        </w:rPr>
        <w:t>日发布的《中国数</w:t>
      </w:r>
      <w:r w:rsidRPr="007E4667">
        <w:rPr>
          <w:rFonts w:hint="eastAsia"/>
          <w:sz w:val="28"/>
          <w:szCs w:val="28"/>
        </w:rPr>
        <w:lastRenderedPageBreak/>
        <w:t>字经济报告》，</w:t>
      </w:r>
      <w:r w:rsidRPr="007E4667">
        <w:rPr>
          <w:rFonts w:hint="eastAsia"/>
          <w:sz w:val="28"/>
          <w:szCs w:val="28"/>
        </w:rPr>
        <w:t>2016</w:t>
      </w:r>
      <w:r w:rsidRPr="007E4667">
        <w:rPr>
          <w:rFonts w:hint="eastAsia"/>
          <w:sz w:val="28"/>
          <w:szCs w:val="28"/>
        </w:rPr>
        <w:t>年，中国电子商务交易额占全球</w:t>
      </w:r>
      <w:r w:rsidRPr="007E4667">
        <w:rPr>
          <w:rFonts w:hint="eastAsia"/>
          <w:sz w:val="28"/>
          <w:szCs w:val="28"/>
        </w:rPr>
        <w:t>40%</w:t>
      </w:r>
      <w:r w:rsidRPr="007E4667">
        <w:rPr>
          <w:rFonts w:hint="eastAsia"/>
          <w:sz w:val="28"/>
          <w:szCs w:val="28"/>
        </w:rPr>
        <w:t>，中国个人消费交易额</w:t>
      </w:r>
      <w:r w:rsidRPr="007E4667">
        <w:rPr>
          <w:rFonts w:hint="eastAsia"/>
          <w:sz w:val="28"/>
          <w:szCs w:val="28"/>
        </w:rPr>
        <w:t>7900</w:t>
      </w:r>
      <w:r w:rsidRPr="007E4667">
        <w:rPr>
          <w:rFonts w:hint="eastAsia"/>
          <w:sz w:val="28"/>
          <w:szCs w:val="28"/>
        </w:rPr>
        <w:t>亿美元，是美国的</w:t>
      </w:r>
      <w:r w:rsidRPr="007E4667">
        <w:rPr>
          <w:rFonts w:hint="eastAsia"/>
          <w:sz w:val="28"/>
          <w:szCs w:val="28"/>
        </w:rPr>
        <w:t>11</w:t>
      </w:r>
      <w:r w:rsidRPr="007E4667">
        <w:rPr>
          <w:rFonts w:hint="eastAsia"/>
          <w:sz w:val="28"/>
          <w:szCs w:val="28"/>
        </w:rPr>
        <w:t>倍。全球</w:t>
      </w:r>
      <w:r w:rsidRPr="007E4667">
        <w:rPr>
          <w:rFonts w:hint="eastAsia"/>
          <w:sz w:val="28"/>
          <w:szCs w:val="28"/>
        </w:rPr>
        <w:t>262</w:t>
      </w:r>
      <w:r w:rsidRPr="007E4667">
        <w:rPr>
          <w:rFonts w:hint="eastAsia"/>
          <w:sz w:val="28"/>
          <w:szCs w:val="28"/>
        </w:rPr>
        <w:t>家独角兽（估值超过</w:t>
      </w:r>
      <w:r w:rsidRPr="007E4667">
        <w:rPr>
          <w:rFonts w:hint="eastAsia"/>
          <w:sz w:val="28"/>
          <w:szCs w:val="28"/>
        </w:rPr>
        <w:t>10</w:t>
      </w:r>
      <w:r w:rsidRPr="007E4667">
        <w:rPr>
          <w:rFonts w:hint="eastAsia"/>
          <w:sz w:val="28"/>
          <w:szCs w:val="28"/>
        </w:rPr>
        <w:t>亿美元的私营初创）企业中有</w:t>
      </w:r>
      <w:r w:rsidRPr="007E4667">
        <w:rPr>
          <w:rFonts w:hint="eastAsia"/>
          <w:sz w:val="28"/>
          <w:szCs w:val="28"/>
        </w:rPr>
        <w:t xml:space="preserve">1/3 </w:t>
      </w:r>
      <w:r w:rsidRPr="007E4667">
        <w:rPr>
          <w:rFonts w:hint="eastAsia"/>
          <w:sz w:val="28"/>
          <w:szCs w:val="28"/>
        </w:rPr>
        <w:t>是中国企业，占独角兽企业总估值的</w:t>
      </w:r>
      <w:r w:rsidRPr="007E4667">
        <w:rPr>
          <w:rFonts w:hint="eastAsia"/>
          <w:sz w:val="28"/>
          <w:szCs w:val="28"/>
        </w:rPr>
        <w:t>43%</w:t>
      </w:r>
      <w:r w:rsidRPr="007E4667">
        <w:rPr>
          <w:rFonts w:hint="eastAsia"/>
          <w:sz w:val="28"/>
          <w:szCs w:val="28"/>
        </w:rPr>
        <w:t>。中国正在迎来数字经济发展的历史性机遇。</w:t>
      </w:r>
    </w:p>
    <w:p w:rsidR="00AE60BB" w:rsidRPr="007E4667" w:rsidRDefault="00AE60BB" w:rsidP="00AE60BB">
      <w:pPr>
        <w:ind w:firstLine="540"/>
        <w:rPr>
          <w:sz w:val="28"/>
          <w:szCs w:val="28"/>
        </w:rPr>
      </w:pPr>
      <w:r w:rsidRPr="007E4667">
        <w:rPr>
          <w:rFonts w:hint="eastAsia"/>
          <w:sz w:val="28"/>
          <w:szCs w:val="28"/>
        </w:rPr>
        <w:t>从需求的角度来看，数字经济的各种业态、各种产品、各种服务模式的蓬勃发展，是由于中国</w:t>
      </w:r>
      <w:r w:rsidRPr="007E4667">
        <w:rPr>
          <w:rFonts w:hint="eastAsia"/>
          <w:sz w:val="28"/>
          <w:szCs w:val="28"/>
        </w:rPr>
        <w:t>13.9</w:t>
      </w:r>
      <w:r w:rsidRPr="007E4667">
        <w:rPr>
          <w:rFonts w:hint="eastAsia"/>
          <w:sz w:val="28"/>
          <w:szCs w:val="28"/>
        </w:rPr>
        <w:t>亿人口形成的巨大市场规模为业态生发提供了肥沃的土壤。特别是</w:t>
      </w:r>
      <w:r>
        <w:rPr>
          <w:rFonts w:hint="eastAsia"/>
          <w:sz w:val="28"/>
          <w:szCs w:val="28"/>
        </w:rPr>
        <w:t>2017</w:t>
      </w:r>
      <w:r>
        <w:rPr>
          <w:rFonts w:hint="eastAsia"/>
          <w:sz w:val="28"/>
          <w:szCs w:val="28"/>
        </w:rPr>
        <w:t>年</w:t>
      </w:r>
      <w:r w:rsidRPr="007E4667">
        <w:rPr>
          <w:rFonts w:hint="eastAsia"/>
          <w:sz w:val="28"/>
          <w:szCs w:val="28"/>
        </w:rPr>
        <w:t>中国的人均</w:t>
      </w:r>
      <w:r w:rsidRPr="007E4667">
        <w:rPr>
          <w:rFonts w:hint="eastAsia"/>
          <w:sz w:val="28"/>
          <w:szCs w:val="28"/>
        </w:rPr>
        <w:t>GDP</w:t>
      </w:r>
      <w:r w:rsidRPr="007E4667">
        <w:rPr>
          <w:rFonts w:hint="eastAsia"/>
          <w:sz w:val="28"/>
          <w:szCs w:val="28"/>
        </w:rPr>
        <w:t>达到</w:t>
      </w:r>
      <w:r w:rsidRPr="007E4667">
        <w:rPr>
          <w:rFonts w:hint="eastAsia"/>
          <w:sz w:val="28"/>
          <w:szCs w:val="28"/>
        </w:rPr>
        <w:t>59500</w:t>
      </w:r>
      <w:r w:rsidRPr="007E4667">
        <w:rPr>
          <w:rFonts w:hint="eastAsia"/>
          <w:sz w:val="28"/>
          <w:szCs w:val="28"/>
        </w:rPr>
        <w:t>元，折合</w:t>
      </w:r>
      <w:r w:rsidRPr="007E4667">
        <w:rPr>
          <w:rFonts w:hint="eastAsia"/>
          <w:sz w:val="28"/>
          <w:szCs w:val="28"/>
        </w:rPr>
        <w:t>9100</w:t>
      </w:r>
      <w:r>
        <w:rPr>
          <w:rFonts w:hint="eastAsia"/>
          <w:sz w:val="28"/>
          <w:szCs w:val="28"/>
        </w:rPr>
        <w:t>美元，按照国际标准，正处在消费升级的重要阶段，</w:t>
      </w:r>
      <w:r w:rsidRPr="007E4667">
        <w:rPr>
          <w:rFonts w:hint="eastAsia"/>
          <w:sz w:val="28"/>
          <w:szCs w:val="28"/>
        </w:rPr>
        <w:t>需要各种更便捷、更个性化的产品和服务。从供给方面看，是由于中国的市场制度还很不完善，营商环境也存在诸多不便，直接影响和约束着市场活力和社会创造力的发展，</w:t>
      </w:r>
      <w:r>
        <w:rPr>
          <w:rFonts w:hint="eastAsia"/>
          <w:sz w:val="28"/>
          <w:szCs w:val="28"/>
        </w:rPr>
        <w:t>数字经济的发展和创新成为突破这些瓶颈，推动中国经济社会进步的重要方面，同时</w:t>
      </w:r>
      <w:r w:rsidRPr="007E4667">
        <w:rPr>
          <w:rFonts w:hint="eastAsia"/>
          <w:sz w:val="28"/>
          <w:szCs w:val="28"/>
        </w:rPr>
        <w:t>，中国数字经济的发展也存在着很多需要解决的问题。</w:t>
      </w:r>
    </w:p>
    <w:p w:rsidR="00AE60BB" w:rsidRPr="007E4667" w:rsidRDefault="00AE60BB" w:rsidP="00AE60BB">
      <w:pPr>
        <w:ind w:firstLine="540"/>
        <w:rPr>
          <w:sz w:val="28"/>
          <w:szCs w:val="28"/>
        </w:rPr>
      </w:pPr>
      <w:r w:rsidRPr="007E4667">
        <w:rPr>
          <w:rFonts w:hint="eastAsia"/>
          <w:sz w:val="28"/>
          <w:szCs w:val="28"/>
        </w:rPr>
        <w:t>数字技术在生产经济活动中的导入和扩展，形成数字经济生态，包括共生关键技术创新和大数据应用。从目前情况来看，我国的大数据应用发展很快，但是共生关键技术创新很少。这是制约中国数字经济发展</w:t>
      </w:r>
      <w:r>
        <w:rPr>
          <w:rFonts w:hint="eastAsia"/>
          <w:sz w:val="28"/>
          <w:szCs w:val="28"/>
        </w:rPr>
        <w:t>的</w:t>
      </w:r>
      <w:r w:rsidRPr="007E4667">
        <w:rPr>
          <w:rFonts w:hint="eastAsia"/>
          <w:sz w:val="28"/>
          <w:szCs w:val="28"/>
        </w:rPr>
        <w:t>一大瓶颈。比如，我国已经成为全球最大的移动支付市场，</w:t>
      </w:r>
      <w:r>
        <w:rPr>
          <w:rFonts w:hint="eastAsia"/>
          <w:sz w:val="28"/>
          <w:szCs w:val="28"/>
        </w:rPr>
        <w:t>有人估计约为美国的</w:t>
      </w:r>
      <w:r>
        <w:rPr>
          <w:rFonts w:hint="eastAsia"/>
          <w:sz w:val="28"/>
          <w:szCs w:val="28"/>
        </w:rPr>
        <w:t>90</w:t>
      </w:r>
      <w:r>
        <w:rPr>
          <w:rFonts w:hint="eastAsia"/>
          <w:sz w:val="28"/>
          <w:szCs w:val="28"/>
        </w:rPr>
        <w:t>倍，且弯道超车，基本跳过了银行卡阶段，据“一带一路”沿线</w:t>
      </w:r>
      <w:r>
        <w:rPr>
          <w:rFonts w:hint="eastAsia"/>
          <w:sz w:val="28"/>
          <w:szCs w:val="28"/>
        </w:rPr>
        <w:t>20</w:t>
      </w:r>
      <w:r>
        <w:rPr>
          <w:rFonts w:hint="eastAsia"/>
          <w:sz w:val="28"/>
          <w:szCs w:val="28"/>
        </w:rPr>
        <w:t>国青年调查，支付宝与高铁、</w:t>
      </w:r>
      <w:proofErr w:type="gramStart"/>
      <w:r>
        <w:rPr>
          <w:rFonts w:hint="eastAsia"/>
          <w:sz w:val="28"/>
          <w:szCs w:val="28"/>
        </w:rPr>
        <w:t>网购和</w:t>
      </w:r>
      <w:proofErr w:type="gramEnd"/>
      <w:r>
        <w:rPr>
          <w:rFonts w:hint="eastAsia"/>
          <w:sz w:val="28"/>
          <w:szCs w:val="28"/>
        </w:rPr>
        <w:t>共享单车被称为中国“新四大发明”。</w:t>
      </w:r>
      <w:r w:rsidRPr="007E4667">
        <w:rPr>
          <w:rFonts w:hint="eastAsia"/>
          <w:sz w:val="28"/>
          <w:szCs w:val="28"/>
        </w:rPr>
        <w:t>2017</w:t>
      </w:r>
      <w:r w:rsidRPr="007E4667">
        <w:rPr>
          <w:rFonts w:hint="eastAsia"/>
          <w:sz w:val="28"/>
          <w:szCs w:val="28"/>
        </w:rPr>
        <w:t>年第</w:t>
      </w:r>
      <w:r w:rsidRPr="007E4667">
        <w:rPr>
          <w:rFonts w:hint="eastAsia"/>
          <w:sz w:val="28"/>
          <w:szCs w:val="28"/>
        </w:rPr>
        <w:t>3</w:t>
      </w:r>
      <w:r w:rsidRPr="007E4667">
        <w:rPr>
          <w:rFonts w:hint="eastAsia"/>
          <w:sz w:val="28"/>
          <w:szCs w:val="28"/>
        </w:rPr>
        <w:t>季度的市场交易规模</w:t>
      </w:r>
      <w:r w:rsidRPr="007E4667">
        <w:rPr>
          <w:rFonts w:hint="eastAsia"/>
          <w:sz w:val="28"/>
          <w:szCs w:val="28"/>
        </w:rPr>
        <w:t>29.5</w:t>
      </w:r>
      <w:proofErr w:type="gramStart"/>
      <w:r w:rsidRPr="007E4667">
        <w:rPr>
          <w:rFonts w:hint="eastAsia"/>
          <w:sz w:val="28"/>
          <w:szCs w:val="28"/>
        </w:rPr>
        <w:t>万亿</w:t>
      </w:r>
      <w:proofErr w:type="gramEnd"/>
      <w:r w:rsidRPr="007E4667">
        <w:rPr>
          <w:rFonts w:hint="eastAsia"/>
          <w:sz w:val="28"/>
          <w:szCs w:val="28"/>
        </w:rPr>
        <w:t>元，同比大增</w:t>
      </w:r>
      <w:r w:rsidRPr="007E4667">
        <w:rPr>
          <w:rFonts w:hint="eastAsia"/>
          <w:sz w:val="28"/>
          <w:szCs w:val="28"/>
        </w:rPr>
        <w:t>226.2%</w:t>
      </w:r>
      <w:r w:rsidRPr="007E4667">
        <w:rPr>
          <w:rFonts w:hint="eastAsia"/>
          <w:sz w:val="28"/>
          <w:szCs w:val="28"/>
        </w:rPr>
        <w:t>，第</w:t>
      </w:r>
      <w:r w:rsidRPr="007E4667">
        <w:rPr>
          <w:rFonts w:hint="eastAsia"/>
          <w:sz w:val="28"/>
          <w:szCs w:val="28"/>
        </w:rPr>
        <w:t>4</w:t>
      </w:r>
      <w:r w:rsidRPr="007E4667">
        <w:rPr>
          <w:rFonts w:hint="eastAsia"/>
          <w:sz w:val="28"/>
          <w:szCs w:val="28"/>
        </w:rPr>
        <w:t>季度有可能突破</w:t>
      </w:r>
      <w:r w:rsidRPr="007E4667">
        <w:rPr>
          <w:rFonts w:hint="eastAsia"/>
          <w:sz w:val="28"/>
          <w:szCs w:val="28"/>
        </w:rPr>
        <w:t>35</w:t>
      </w:r>
      <w:proofErr w:type="gramStart"/>
      <w:r w:rsidRPr="007E4667">
        <w:rPr>
          <w:rFonts w:hint="eastAsia"/>
          <w:sz w:val="28"/>
          <w:szCs w:val="28"/>
        </w:rPr>
        <w:t>万亿</w:t>
      </w:r>
      <w:proofErr w:type="gramEnd"/>
      <w:r w:rsidRPr="007E4667">
        <w:rPr>
          <w:rFonts w:hint="eastAsia"/>
          <w:sz w:val="28"/>
          <w:szCs w:val="28"/>
        </w:rPr>
        <w:t>元，</w:t>
      </w:r>
      <w:r>
        <w:rPr>
          <w:rFonts w:hint="eastAsia"/>
          <w:sz w:val="28"/>
          <w:szCs w:val="28"/>
        </w:rPr>
        <w:t>轻现金交易逐渐成为年轻人的时尚，据</w:t>
      </w:r>
      <w:proofErr w:type="gramStart"/>
      <w:r>
        <w:rPr>
          <w:rFonts w:hint="eastAsia"/>
          <w:sz w:val="28"/>
          <w:szCs w:val="28"/>
        </w:rPr>
        <w:t>益索普</w:t>
      </w:r>
      <w:proofErr w:type="gramEnd"/>
      <w:r>
        <w:rPr>
          <w:rFonts w:hint="eastAsia"/>
          <w:sz w:val="28"/>
          <w:szCs w:val="28"/>
        </w:rPr>
        <w:t>公司问卷调查，</w:t>
      </w:r>
      <w:r>
        <w:rPr>
          <w:rFonts w:hint="eastAsia"/>
          <w:sz w:val="28"/>
          <w:szCs w:val="28"/>
        </w:rPr>
        <w:t>26%</w:t>
      </w:r>
      <w:r>
        <w:rPr>
          <w:rFonts w:hint="eastAsia"/>
          <w:sz w:val="28"/>
          <w:szCs w:val="28"/>
        </w:rPr>
        <w:t>的中国受</w:t>
      </w:r>
      <w:r>
        <w:rPr>
          <w:rFonts w:hint="eastAsia"/>
          <w:sz w:val="28"/>
          <w:szCs w:val="28"/>
        </w:rPr>
        <w:lastRenderedPageBreak/>
        <w:t>访者出门只带不超过</w:t>
      </w:r>
      <w:r>
        <w:rPr>
          <w:rFonts w:hint="eastAsia"/>
          <w:sz w:val="28"/>
          <w:szCs w:val="28"/>
        </w:rPr>
        <w:t>100</w:t>
      </w:r>
      <w:r>
        <w:rPr>
          <w:rFonts w:hint="eastAsia"/>
          <w:sz w:val="28"/>
          <w:szCs w:val="28"/>
        </w:rPr>
        <w:t>元的现金，</w:t>
      </w:r>
      <w:r>
        <w:rPr>
          <w:rFonts w:hint="eastAsia"/>
          <w:sz w:val="28"/>
          <w:szCs w:val="28"/>
        </w:rPr>
        <w:t>14%</w:t>
      </w:r>
      <w:r>
        <w:rPr>
          <w:rFonts w:hint="eastAsia"/>
          <w:sz w:val="28"/>
          <w:szCs w:val="28"/>
        </w:rPr>
        <w:t>的人不带现金。</w:t>
      </w:r>
      <w:r w:rsidRPr="007E4667">
        <w:rPr>
          <w:rFonts w:hint="eastAsia"/>
          <w:sz w:val="28"/>
          <w:szCs w:val="28"/>
        </w:rPr>
        <w:t>行业巨头</w:t>
      </w:r>
      <w:r>
        <w:rPr>
          <w:rFonts w:hint="eastAsia"/>
          <w:sz w:val="28"/>
          <w:szCs w:val="28"/>
        </w:rPr>
        <w:t>也</w:t>
      </w:r>
      <w:r w:rsidRPr="007E4667">
        <w:rPr>
          <w:rFonts w:hint="eastAsia"/>
          <w:sz w:val="28"/>
          <w:szCs w:val="28"/>
        </w:rPr>
        <w:t>争相竞逐市场，支付宝占市场规模的</w:t>
      </w:r>
      <w:r w:rsidRPr="007E4667">
        <w:rPr>
          <w:rFonts w:hint="eastAsia"/>
          <w:sz w:val="28"/>
          <w:szCs w:val="28"/>
        </w:rPr>
        <w:t>53.73%</w:t>
      </w:r>
      <w:r>
        <w:rPr>
          <w:rFonts w:hint="eastAsia"/>
          <w:sz w:val="28"/>
          <w:szCs w:val="28"/>
        </w:rPr>
        <w:t>，</w:t>
      </w:r>
      <w:proofErr w:type="gramStart"/>
      <w:r w:rsidRPr="007E4667">
        <w:rPr>
          <w:rFonts w:hint="eastAsia"/>
          <w:sz w:val="28"/>
          <w:szCs w:val="28"/>
        </w:rPr>
        <w:t>腾讯金融</w:t>
      </w:r>
      <w:proofErr w:type="gramEnd"/>
      <w:r>
        <w:rPr>
          <w:rFonts w:hint="eastAsia"/>
          <w:sz w:val="28"/>
          <w:szCs w:val="28"/>
        </w:rPr>
        <w:t>占</w:t>
      </w:r>
      <w:r w:rsidRPr="007E4667">
        <w:rPr>
          <w:rFonts w:hint="eastAsia"/>
          <w:sz w:val="28"/>
          <w:szCs w:val="28"/>
        </w:rPr>
        <w:t>39.35%</w:t>
      </w:r>
      <w:r w:rsidRPr="007E4667">
        <w:rPr>
          <w:rFonts w:hint="eastAsia"/>
          <w:sz w:val="28"/>
          <w:szCs w:val="28"/>
        </w:rPr>
        <w:t>，中国银联与京东合作，携手商业银行及支付机构共同发布银行业统一</w:t>
      </w:r>
      <w:r w:rsidRPr="007E4667">
        <w:rPr>
          <w:rFonts w:hint="eastAsia"/>
          <w:sz w:val="28"/>
          <w:szCs w:val="28"/>
        </w:rPr>
        <w:t>APP</w:t>
      </w:r>
      <w:r w:rsidRPr="007E4667">
        <w:rPr>
          <w:rFonts w:hint="eastAsia"/>
          <w:sz w:val="28"/>
          <w:szCs w:val="28"/>
        </w:rPr>
        <w:t>“云闪付”参与争夺。</w:t>
      </w:r>
      <w:r>
        <w:rPr>
          <w:rFonts w:hint="eastAsia"/>
          <w:sz w:val="28"/>
          <w:szCs w:val="28"/>
        </w:rPr>
        <w:t>然而在共生关键技术创新方面，我们却善乏可陈。</w:t>
      </w:r>
      <w:r w:rsidRPr="007E4667">
        <w:rPr>
          <w:rFonts w:hint="eastAsia"/>
          <w:sz w:val="28"/>
          <w:szCs w:val="28"/>
        </w:rPr>
        <w:t>最近，由下一代互联网工程中心牵头发起的“雪人计划”</w:t>
      </w:r>
      <w:r>
        <w:rPr>
          <w:rFonts w:hint="eastAsia"/>
          <w:sz w:val="28"/>
          <w:szCs w:val="28"/>
        </w:rPr>
        <w:t>，</w:t>
      </w:r>
      <w:r w:rsidRPr="007E4667">
        <w:rPr>
          <w:rFonts w:hint="eastAsia"/>
          <w:sz w:val="28"/>
          <w:szCs w:val="28"/>
        </w:rPr>
        <w:t>于</w:t>
      </w:r>
      <w:r w:rsidRPr="007E4667">
        <w:rPr>
          <w:rFonts w:hint="eastAsia"/>
          <w:sz w:val="28"/>
          <w:szCs w:val="28"/>
        </w:rPr>
        <w:t>2016</w:t>
      </w:r>
      <w:r w:rsidRPr="007E4667">
        <w:rPr>
          <w:rFonts w:hint="eastAsia"/>
          <w:sz w:val="28"/>
          <w:szCs w:val="28"/>
        </w:rPr>
        <w:t>年在美国、日本、印度、俄罗斯、德国、法国等</w:t>
      </w:r>
      <w:r w:rsidRPr="007E4667">
        <w:rPr>
          <w:rFonts w:hint="eastAsia"/>
          <w:sz w:val="28"/>
          <w:szCs w:val="28"/>
        </w:rPr>
        <w:t>16</w:t>
      </w:r>
      <w:r w:rsidRPr="007E4667">
        <w:rPr>
          <w:rFonts w:hint="eastAsia"/>
          <w:sz w:val="28"/>
          <w:szCs w:val="28"/>
        </w:rPr>
        <w:t>个国家完成</w:t>
      </w:r>
      <w:r w:rsidRPr="007E4667">
        <w:rPr>
          <w:rFonts w:hint="eastAsia"/>
          <w:sz w:val="28"/>
          <w:szCs w:val="28"/>
        </w:rPr>
        <w:t>25</w:t>
      </w:r>
      <w:r w:rsidRPr="007E4667">
        <w:rPr>
          <w:rFonts w:hint="eastAsia"/>
          <w:sz w:val="28"/>
          <w:szCs w:val="28"/>
        </w:rPr>
        <w:t>台</w:t>
      </w:r>
      <w:r w:rsidRPr="007E4667">
        <w:rPr>
          <w:rFonts w:hint="eastAsia"/>
          <w:sz w:val="28"/>
          <w:szCs w:val="28"/>
        </w:rPr>
        <w:t>IPv6</w:t>
      </w:r>
      <w:r w:rsidRPr="007E4667">
        <w:rPr>
          <w:rFonts w:hint="eastAsia"/>
          <w:sz w:val="28"/>
          <w:szCs w:val="28"/>
        </w:rPr>
        <w:t>根服务器架设</w:t>
      </w:r>
      <w:r>
        <w:rPr>
          <w:rFonts w:hint="eastAsia"/>
          <w:sz w:val="28"/>
          <w:szCs w:val="28"/>
        </w:rPr>
        <w:t>（取代原来的</w:t>
      </w:r>
      <w:r>
        <w:rPr>
          <w:rFonts w:hint="eastAsia"/>
          <w:sz w:val="28"/>
          <w:szCs w:val="28"/>
        </w:rPr>
        <w:t>IPv4</w:t>
      </w:r>
      <w:r>
        <w:rPr>
          <w:rFonts w:hint="eastAsia"/>
          <w:sz w:val="28"/>
          <w:szCs w:val="28"/>
        </w:rPr>
        <w:t>）</w:t>
      </w:r>
      <w:r w:rsidRPr="007E4667">
        <w:rPr>
          <w:rFonts w:hint="eastAsia"/>
          <w:sz w:val="28"/>
          <w:szCs w:val="28"/>
        </w:rPr>
        <w:t>，其中</w:t>
      </w:r>
      <w:r w:rsidRPr="007E4667">
        <w:rPr>
          <w:rFonts w:hint="eastAsia"/>
          <w:sz w:val="28"/>
          <w:szCs w:val="28"/>
        </w:rPr>
        <w:t>1</w:t>
      </w:r>
      <w:r w:rsidRPr="007E4667">
        <w:rPr>
          <w:rFonts w:hint="eastAsia"/>
          <w:sz w:val="28"/>
          <w:szCs w:val="28"/>
        </w:rPr>
        <w:t>台主根和</w:t>
      </w:r>
      <w:r w:rsidRPr="007E4667">
        <w:rPr>
          <w:rFonts w:hint="eastAsia"/>
          <w:sz w:val="28"/>
          <w:szCs w:val="28"/>
        </w:rPr>
        <w:t>3</w:t>
      </w:r>
      <w:r w:rsidRPr="007E4667">
        <w:rPr>
          <w:rFonts w:hint="eastAsia"/>
          <w:sz w:val="28"/>
          <w:szCs w:val="28"/>
        </w:rPr>
        <w:t>台</w:t>
      </w:r>
      <w:proofErr w:type="gramStart"/>
      <w:r w:rsidRPr="007E4667">
        <w:rPr>
          <w:rFonts w:hint="eastAsia"/>
          <w:sz w:val="28"/>
          <w:szCs w:val="28"/>
        </w:rPr>
        <w:t>辅根部署</w:t>
      </w:r>
      <w:proofErr w:type="gramEnd"/>
      <w:r w:rsidRPr="007E4667">
        <w:rPr>
          <w:rFonts w:hint="eastAsia"/>
          <w:sz w:val="28"/>
          <w:szCs w:val="28"/>
        </w:rPr>
        <w:t>在中国，打破了过去中国没有互联网根服务器的困境。也算是一个突破，但</w:t>
      </w:r>
      <w:r>
        <w:rPr>
          <w:rFonts w:hint="eastAsia"/>
          <w:sz w:val="28"/>
          <w:szCs w:val="28"/>
        </w:rPr>
        <w:t>必须清醒，</w:t>
      </w:r>
      <w:r w:rsidRPr="007E4667">
        <w:rPr>
          <w:rFonts w:hint="eastAsia"/>
          <w:sz w:val="28"/>
          <w:szCs w:val="28"/>
        </w:rPr>
        <w:t>在</w:t>
      </w:r>
      <w:r>
        <w:rPr>
          <w:rFonts w:hint="eastAsia"/>
          <w:sz w:val="28"/>
          <w:szCs w:val="28"/>
        </w:rPr>
        <w:t>这</w:t>
      </w:r>
      <w:r w:rsidRPr="007E4667">
        <w:rPr>
          <w:rFonts w:hint="eastAsia"/>
          <w:sz w:val="28"/>
          <w:szCs w:val="28"/>
        </w:rPr>
        <w:t>方面</w:t>
      </w:r>
      <w:r>
        <w:rPr>
          <w:rFonts w:hint="eastAsia"/>
          <w:sz w:val="28"/>
          <w:szCs w:val="28"/>
        </w:rPr>
        <w:t>我国</w:t>
      </w:r>
      <w:r w:rsidRPr="007E4667">
        <w:rPr>
          <w:rFonts w:hint="eastAsia"/>
          <w:sz w:val="28"/>
          <w:szCs w:val="28"/>
        </w:rPr>
        <w:t>需要</w:t>
      </w:r>
      <w:r>
        <w:rPr>
          <w:rFonts w:hint="eastAsia"/>
          <w:sz w:val="28"/>
          <w:szCs w:val="28"/>
        </w:rPr>
        <w:t>有更好的机制，投入更多的资源，</w:t>
      </w:r>
      <w:r w:rsidRPr="007E4667">
        <w:rPr>
          <w:rFonts w:hint="eastAsia"/>
          <w:sz w:val="28"/>
          <w:szCs w:val="28"/>
        </w:rPr>
        <w:t>花</w:t>
      </w:r>
      <w:r>
        <w:rPr>
          <w:rFonts w:hint="eastAsia"/>
          <w:sz w:val="28"/>
          <w:szCs w:val="28"/>
        </w:rPr>
        <w:t>费</w:t>
      </w:r>
      <w:r w:rsidRPr="007E4667">
        <w:rPr>
          <w:rFonts w:hint="eastAsia"/>
          <w:sz w:val="28"/>
          <w:szCs w:val="28"/>
        </w:rPr>
        <w:t>更大的精力。</w:t>
      </w:r>
    </w:p>
    <w:p w:rsidR="00AE60BB" w:rsidRDefault="00AE60BB" w:rsidP="00AE60BB">
      <w:pPr>
        <w:ind w:firstLine="540"/>
        <w:rPr>
          <w:sz w:val="28"/>
          <w:szCs w:val="28"/>
        </w:rPr>
      </w:pPr>
      <w:r w:rsidRPr="007E4667">
        <w:rPr>
          <w:rFonts w:hint="eastAsia"/>
          <w:sz w:val="28"/>
          <w:szCs w:val="28"/>
        </w:rPr>
        <w:t>再如，近几年“共享经济”发展迅猛，除了滴滴出行、共享单车以外，共享雨伞、共享充电宝、共享电脑、共享大厨、共享珠宝、共享衣服等也陆续加入。</w:t>
      </w:r>
      <w:r w:rsidRPr="007E4667">
        <w:rPr>
          <w:rFonts w:hint="eastAsia"/>
          <w:sz w:val="28"/>
          <w:szCs w:val="28"/>
        </w:rPr>
        <w:t>2016</w:t>
      </w:r>
      <w:r w:rsidRPr="007E4667">
        <w:rPr>
          <w:rFonts w:hint="eastAsia"/>
          <w:sz w:val="28"/>
          <w:szCs w:val="28"/>
        </w:rPr>
        <w:t>年共享经济市场交易规模</w:t>
      </w:r>
      <w:r w:rsidRPr="007E4667">
        <w:rPr>
          <w:rFonts w:hint="eastAsia"/>
          <w:sz w:val="28"/>
          <w:szCs w:val="28"/>
        </w:rPr>
        <w:t>34520</w:t>
      </w:r>
      <w:r w:rsidRPr="007E4667">
        <w:rPr>
          <w:rFonts w:hint="eastAsia"/>
          <w:sz w:val="28"/>
          <w:szCs w:val="28"/>
        </w:rPr>
        <w:t>亿元，增长</w:t>
      </w:r>
      <w:r w:rsidRPr="007E4667">
        <w:rPr>
          <w:rFonts w:hint="eastAsia"/>
          <w:sz w:val="28"/>
          <w:szCs w:val="28"/>
        </w:rPr>
        <w:t>103%</w:t>
      </w:r>
      <w:r w:rsidRPr="007E4667">
        <w:rPr>
          <w:rFonts w:hint="eastAsia"/>
          <w:sz w:val="28"/>
          <w:szCs w:val="28"/>
        </w:rPr>
        <w:t>，融资规模</w:t>
      </w:r>
      <w:r w:rsidRPr="007E4667">
        <w:rPr>
          <w:rFonts w:hint="eastAsia"/>
          <w:sz w:val="28"/>
          <w:szCs w:val="28"/>
        </w:rPr>
        <w:t>1710</w:t>
      </w:r>
      <w:r w:rsidRPr="007E4667">
        <w:rPr>
          <w:rFonts w:hint="eastAsia"/>
          <w:sz w:val="28"/>
          <w:szCs w:val="28"/>
        </w:rPr>
        <w:t>亿元，增长</w:t>
      </w:r>
      <w:r w:rsidRPr="007E4667">
        <w:rPr>
          <w:rFonts w:hint="eastAsia"/>
          <w:sz w:val="28"/>
          <w:szCs w:val="28"/>
        </w:rPr>
        <w:t>130%</w:t>
      </w:r>
      <w:r w:rsidRPr="007E4667">
        <w:rPr>
          <w:rFonts w:hint="eastAsia"/>
          <w:sz w:val="28"/>
          <w:szCs w:val="28"/>
        </w:rPr>
        <w:t>，与共享经济行业相关的手机应用多达数百个。然而，共享经济是把闲置的资源利用起来，而不是创造新的产品和服务，美国共享汽车</w:t>
      </w:r>
      <w:r>
        <w:rPr>
          <w:rFonts w:hint="eastAsia"/>
          <w:sz w:val="28"/>
          <w:szCs w:val="28"/>
        </w:rPr>
        <w:t>之父</w:t>
      </w:r>
      <w:r>
        <w:rPr>
          <w:rFonts w:hint="eastAsia"/>
          <w:sz w:val="28"/>
          <w:szCs w:val="28"/>
        </w:rPr>
        <w:t>Zi</w:t>
      </w:r>
      <w:r w:rsidRPr="007E4667">
        <w:rPr>
          <w:rFonts w:hint="eastAsia"/>
          <w:sz w:val="28"/>
          <w:szCs w:val="28"/>
        </w:rPr>
        <w:t>pcar</w:t>
      </w:r>
      <w:r w:rsidRPr="007E4667">
        <w:rPr>
          <w:rFonts w:hint="eastAsia"/>
          <w:sz w:val="28"/>
          <w:szCs w:val="28"/>
        </w:rPr>
        <w:t>公司创始人罗宾</w:t>
      </w:r>
      <w:r w:rsidRPr="007E4667">
        <w:rPr>
          <w:rFonts w:asciiTheme="minorEastAsia" w:hAnsiTheme="minorEastAsia" w:hint="eastAsia"/>
          <w:sz w:val="28"/>
          <w:szCs w:val="28"/>
        </w:rPr>
        <w:t>·</w:t>
      </w:r>
      <w:r w:rsidRPr="007E4667">
        <w:rPr>
          <w:rFonts w:hint="eastAsia"/>
          <w:sz w:val="28"/>
          <w:szCs w:val="28"/>
        </w:rPr>
        <w:t>蔡斯把“产能过剩”看作共享经济的基础，</w:t>
      </w:r>
      <w:r>
        <w:rPr>
          <w:rFonts w:hint="eastAsia"/>
          <w:sz w:val="28"/>
          <w:szCs w:val="28"/>
        </w:rPr>
        <w:t>认为</w:t>
      </w:r>
      <w:r w:rsidRPr="007E4667">
        <w:rPr>
          <w:rFonts w:hint="eastAsia"/>
          <w:sz w:val="28"/>
          <w:szCs w:val="28"/>
        </w:rPr>
        <w:t>“产能过剩、共享平台和人人参与”</w:t>
      </w:r>
      <w:r>
        <w:rPr>
          <w:rFonts w:hint="eastAsia"/>
          <w:sz w:val="28"/>
          <w:szCs w:val="28"/>
        </w:rPr>
        <w:t>是</w:t>
      </w:r>
      <w:r w:rsidRPr="007E4667">
        <w:rPr>
          <w:rFonts w:hint="eastAsia"/>
          <w:sz w:val="28"/>
          <w:szCs w:val="28"/>
        </w:rPr>
        <w:t>共享经济的三大要素。</w:t>
      </w:r>
      <w:r>
        <w:rPr>
          <w:rFonts w:hint="eastAsia"/>
          <w:sz w:val="28"/>
          <w:szCs w:val="28"/>
        </w:rPr>
        <w:t>共享单车由于绿色出行，解决了最后一公里的问题，受到欢迎。然</w:t>
      </w:r>
      <w:r w:rsidRPr="007E4667">
        <w:rPr>
          <w:rFonts w:hint="eastAsia"/>
          <w:sz w:val="28"/>
          <w:szCs w:val="28"/>
        </w:rPr>
        <w:t>而</w:t>
      </w:r>
      <w:r>
        <w:rPr>
          <w:rFonts w:hint="eastAsia"/>
          <w:sz w:val="28"/>
          <w:szCs w:val="28"/>
        </w:rPr>
        <w:t>，</w:t>
      </w:r>
      <w:r w:rsidRPr="007E4667">
        <w:rPr>
          <w:rFonts w:hint="eastAsia"/>
          <w:sz w:val="28"/>
          <w:szCs w:val="28"/>
        </w:rPr>
        <w:t>国人好刮风，把共享雨伞、共享篮球、共享充电宝之类本不属于共享经济范畴的东西，也当作共享经济来玩，哪有不走样之理。不仅如此，真正的共享经济也是冰火两重天，由于市场竞争激烈，</w:t>
      </w:r>
      <w:r w:rsidRPr="007E4667">
        <w:rPr>
          <w:rFonts w:hint="eastAsia"/>
          <w:sz w:val="28"/>
          <w:szCs w:val="28"/>
        </w:rPr>
        <w:t>ofo</w:t>
      </w:r>
      <w:proofErr w:type="gramStart"/>
      <w:r w:rsidRPr="007E4667">
        <w:rPr>
          <w:rFonts w:hint="eastAsia"/>
          <w:sz w:val="28"/>
          <w:szCs w:val="28"/>
        </w:rPr>
        <w:t>和摩拜单车</w:t>
      </w:r>
      <w:proofErr w:type="gramEnd"/>
      <w:r w:rsidRPr="007E4667">
        <w:rPr>
          <w:rFonts w:hint="eastAsia"/>
          <w:sz w:val="28"/>
          <w:szCs w:val="28"/>
        </w:rPr>
        <w:t>正在布局二、三线</w:t>
      </w:r>
      <w:r w:rsidRPr="007E4667">
        <w:rPr>
          <w:rFonts w:hint="eastAsia"/>
          <w:sz w:val="28"/>
          <w:szCs w:val="28"/>
        </w:rPr>
        <w:lastRenderedPageBreak/>
        <w:t>城市和海外市场，而小兰单车已经宣布解散，其他则倒闭</w:t>
      </w:r>
      <w:r>
        <w:rPr>
          <w:rFonts w:hint="eastAsia"/>
          <w:sz w:val="28"/>
          <w:szCs w:val="28"/>
        </w:rPr>
        <w:t>的倒闭，</w:t>
      </w:r>
      <w:r w:rsidRPr="007E4667">
        <w:rPr>
          <w:rFonts w:hint="eastAsia"/>
          <w:sz w:val="28"/>
          <w:szCs w:val="28"/>
        </w:rPr>
        <w:t>被合并</w:t>
      </w:r>
      <w:r>
        <w:rPr>
          <w:rFonts w:hint="eastAsia"/>
          <w:sz w:val="28"/>
          <w:szCs w:val="28"/>
        </w:rPr>
        <w:t>和被合并</w:t>
      </w:r>
      <w:r w:rsidRPr="007E4667">
        <w:rPr>
          <w:rFonts w:hint="eastAsia"/>
          <w:sz w:val="28"/>
          <w:szCs w:val="28"/>
        </w:rPr>
        <w:t>。</w:t>
      </w:r>
      <w:r w:rsidRPr="007E4667">
        <w:rPr>
          <w:rFonts w:hint="eastAsia"/>
          <w:sz w:val="28"/>
          <w:szCs w:val="28"/>
        </w:rPr>
        <w:t>ofo</w:t>
      </w:r>
      <w:proofErr w:type="gramStart"/>
      <w:r w:rsidRPr="007E4667">
        <w:rPr>
          <w:rFonts w:hint="eastAsia"/>
          <w:sz w:val="28"/>
          <w:szCs w:val="28"/>
        </w:rPr>
        <w:t>和摩拜单车</w:t>
      </w:r>
      <w:proofErr w:type="gramEnd"/>
      <w:r w:rsidRPr="007E4667">
        <w:rPr>
          <w:rFonts w:hint="eastAsia"/>
          <w:sz w:val="28"/>
          <w:szCs w:val="28"/>
        </w:rPr>
        <w:t>也因恶性竞争，以规模取胜，</w:t>
      </w:r>
      <w:r>
        <w:rPr>
          <w:rFonts w:hint="eastAsia"/>
          <w:sz w:val="28"/>
          <w:szCs w:val="28"/>
        </w:rPr>
        <w:t>盲目投放，</w:t>
      </w:r>
      <w:r w:rsidRPr="007E4667">
        <w:rPr>
          <w:rFonts w:hint="eastAsia"/>
          <w:sz w:val="28"/>
          <w:szCs w:val="28"/>
        </w:rPr>
        <w:t>而不是服务为先，再加上管理跟不上，</w:t>
      </w:r>
      <w:r>
        <w:rPr>
          <w:rFonts w:hint="eastAsia"/>
          <w:sz w:val="28"/>
          <w:szCs w:val="28"/>
        </w:rPr>
        <w:t>乘用人</w:t>
      </w:r>
      <w:r w:rsidRPr="007E4667">
        <w:rPr>
          <w:rFonts w:hint="eastAsia"/>
          <w:sz w:val="28"/>
          <w:szCs w:val="28"/>
        </w:rPr>
        <w:t>乱丢乱放，成为城市一大公害。因而也需要加强监管，能否探索和创造一种平台和城市共管的模式。比如，一个城市投放总有一个合理规模，过分超过合理规模必然产生问题。再如，既然提倡公交</w:t>
      </w:r>
      <w:r w:rsidRPr="007E4667">
        <w:rPr>
          <w:rFonts w:hint="eastAsia"/>
          <w:sz w:val="28"/>
          <w:szCs w:val="28"/>
        </w:rPr>
        <w:t>+</w:t>
      </w:r>
      <w:r w:rsidRPr="007E4667">
        <w:rPr>
          <w:rFonts w:hint="eastAsia"/>
          <w:sz w:val="28"/>
          <w:szCs w:val="28"/>
        </w:rPr>
        <w:t>单车的出行模式，那么就应当解决单车的路权和停放</w:t>
      </w:r>
      <w:r>
        <w:rPr>
          <w:rFonts w:hint="eastAsia"/>
          <w:sz w:val="28"/>
          <w:szCs w:val="28"/>
        </w:rPr>
        <w:t>空间</w:t>
      </w:r>
      <w:r w:rsidRPr="007E4667">
        <w:rPr>
          <w:rFonts w:hint="eastAsia"/>
          <w:sz w:val="28"/>
          <w:szCs w:val="28"/>
        </w:rPr>
        <w:t>问题。</w:t>
      </w:r>
      <w:r>
        <w:rPr>
          <w:rFonts w:hint="eastAsia"/>
          <w:sz w:val="28"/>
          <w:szCs w:val="28"/>
        </w:rPr>
        <w:t>在此之前，北京市交通部门搞的红白单车还有专门的停放设施和专人管理，公交车站上下斑高峰也有协管人员，为什么不能在共享单车的管理上也复制过去的经验。</w:t>
      </w:r>
    </w:p>
    <w:p w:rsidR="00AE60BB" w:rsidRDefault="00AE60BB" w:rsidP="00AE60BB">
      <w:pPr>
        <w:ind w:firstLine="540"/>
        <w:rPr>
          <w:sz w:val="28"/>
          <w:szCs w:val="28"/>
        </w:rPr>
      </w:pPr>
      <w:r>
        <w:rPr>
          <w:rFonts w:hint="eastAsia"/>
          <w:sz w:val="28"/>
          <w:szCs w:val="28"/>
        </w:rPr>
        <w:t>发展数字经济，建设创新型国家，既需要依赖市场的自由运作和个人的创造才能，也需要发挥政府的作用，建立一套适合于数字经济发展的公共治理体系。有人提出了“数字经济的中国模式”是一种政府和市场“二合一的混合模式”，在数字经济的创新和发展方面，市场主导，在数字经济的安全和治理方面政府主导。但也担心未来可能出现三大危险：一是政府会不会过度作为，打破政府和市场之间的有效平衡；二是市场垄断会不会崛起，改变长期开放竞争的格局；三是全球化不足。此议值得重视！</w:t>
      </w:r>
    </w:p>
    <w:p w:rsidR="00AE60BB" w:rsidRPr="007E4667" w:rsidRDefault="00AE60BB" w:rsidP="00AE60BB">
      <w:pPr>
        <w:ind w:firstLine="540"/>
        <w:rPr>
          <w:sz w:val="28"/>
          <w:szCs w:val="28"/>
        </w:rPr>
      </w:pPr>
      <w:r>
        <w:rPr>
          <w:rFonts w:hint="eastAsia"/>
          <w:sz w:val="28"/>
          <w:szCs w:val="28"/>
        </w:rPr>
        <w:t>数字经济迅猛高歌，业界十分热闹，数字经济实践早已走在了理论的前头，人们对数字经济理论研究却关注不够，主要是一些互联网专家参与讨论，而经济理论家们往往置身事外。比如，数字经济生产力的问题，其特征如何，结构怎样、动态变迁的规律是什么样的。再如，研究数字经济的方法和方法问题，如何运用异质性方法去代替同</w:t>
      </w:r>
      <w:r>
        <w:rPr>
          <w:rFonts w:hint="eastAsia"/>
          <w:sz w:val="28"/>
          <w:szCs w:val="28"/>
        </w:rPr>
        <w:lastRenderedPageBreak/>
        <w:t>质性方法，如何从拥有权</w:t>
      </w:r>
      <w:proofErr w:type="gramStart"/>
      <w:r>
        <w:rPr>
          <w:rFonts w:hint="eastAsia"/>
          <w:sz w:val="28"/>
          <w:szCs w:val="28"/>
        </w:rPr>
        <w:t>中心论向使用权</w:t>
      </w:r>
      <w:proofErr w:type="gramEnd"/>
      <w:r>
        <w:rPr>
          <w:rFonts w:hint="eastAsia"/>
          <w:sz w:val="28"/>
          <w:szCs w:val="28"/>
        </w:rPr>
        <w:t>中心论转变。再如数字经济的基本理论问题，包括价值理论和价格理论、市场理论和交易理论、产权理论和合约理论、组织理论和协调理论、生产理论和共享理论、租金理论和金融理论、劳动就业和福利理论，以及国际分工和合作理论等，都有新问题需要研究。以及数字经济理论体系如何逐步建立，数字经济的概念范畴如何创新等，都是经济理论家们面临的重要任务。</w:t>
      </w:r>
    </w:p>
    <w:p w:rsidR="00AE60BB" w:rsidRDefault="00AE60BB" w:rsidP="00AE60BB">
      <w:pPr>
        <w:rPr>
          <w:sz w:val="28"/>
          <w:szCs w:val="28"/>
        </w:rPr>
      </w:pPr>
    </w:p>
    <w:p w:rsidR="00AE60BB" w:rsidRDefault="00AE60BB" w:rsidP="00AE60BB">
      <w:pPr>
        <w:jc w:val="center"/>
        <w:rPr>
          <w:sz w:val="28"/>
          <w:szCs w:val="28"/>
        </w:rPr>
      </w:pPr>
      <w:r>
        <w:rPr>
          <w:rFonts w:hint="eastAsia"/>
          <w:sz w:val="28"/>
          <w:szCs w:val="28"/>
        </w:rPr>
        <w:t>四，体制分析</w:t>
      </w:r>
    </w:p>
    <w:p w:rsidR="00AE60BB" w:rsidRDefault="00AE60BB" w:rsidP="00AE60BB">
      <w:pPr>
        <w:rPr>
          <w:sz w:val="28"/>
          <w:szCs w:val="28"/>
        </w:rPr>
      </w:pPr>
    </w:p>
    <w:p w:rsidR="00AE60BB" w:rsidRDefault="00AE60BB" w:rsidP="00AE60BB">
      <w:pPr>
        <w:ind w:firstLineChars="200" w:firstLine="560"/>
        <w:rPr>
          <w:sz w:val="28"/>
          <w:szCs w:val="28"/>
        </w:rPr>
      </w:pP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20</w:t>
      </w:r>
      <w:r>
        <w:rPr>
          <w:rFonts w:hint="eastAsia"/>
          <w:sz w:val="28"/>
          <w:szCs w:val="28"/>
        </w:rPr>
        <w:t>日，财政部长肖捷在《人民日报》发表了《加快建立现代财政制度》的文章，明确提出，要按照“立法先行，充分授权，分步推进”的原则，推进房地产</w:t>
      </w:r>
      <w:proofErr w:type="gramStart"/>
      <w:r>
        <w:rPr>
          <w:rFonts w:hint="eastAsia"/>
          <w:sz w:val="28"/>
          <w:szCs w:val="28"/>
        </w:rPr>
        <w:t>税立法</w:t>
      </w:r>
      <w:proofErr w:type="gramEnd"/>
      <w:r>
        <w:rPr>
          <w:rFonts w:hint="eastAsia"/>
          <w:sz w:val="28"/>
          <w:szCs w:val="28"/>
        </w:rPr>
        <w:t>和实施。并表示，力争在</w:t>
      </w:r>
      <w:r>
        <w:rPr>
          <w:rFonts w:hint="eastAsia"/>
          <w:sz w:val="28"/>
          <w:szCs w:val="28"/>
        </w:rPr>
        <w:t>2019</w:t>
      </w:r>
      <w:r>
        <w:rPr>
          <w:rFonts w:hint="eastAsia"/>
          <w:sz w:val="28"/>
          <w:szCs w:val="28"/>
        </w:rPr>
        <w:t>年完成全部立法程序，</w:t>
      </w:r>
      <w:r>
        <w:rPr>
          <w:rFonts w:hint="eastAsia"/>
          <w:sz w:val="28"/>
          <w:szCs w:val="28"/>
        </w:rPr>
        <w:t>2020</w:t>
      </w:r>
      <w:r>
        <w:rPr>
          <w:rFonts w:hint="eastAsia"/>
          <w:sz w:val="28"/>
          <w:szCs w:val="28"/>
        </w:rPr>
        <w:t>年完成“落实税收法定原则”的改革任务。文章一发表，开征房地产（持有）税一下子又成为人们关注的中心（建设和交易环节的房地产</w:t>
      </w:r>
      <w:proofErr w:type="gramStart"/>
      <w:r>
        <w:rPr>
          <w:rFonts w:hint="eastAsia"/>
          <w:sz w:val="28"/>
          <w:szCs w:val="28"/>
        </w:rPr>
        <w:t>税早已</w:t>
      </w:r>
      <w:proofErr w:type="gramEnd"/>
      <w:r>
        <w:rPr>
          <w:rFonts w:hint="eastAsia"/>
          <w:sz w:val="28"/>
          <w:szCs w:val="28"/>
        </w:rPr>
        <w:t>征收）。</w:t>
      </w:r>
    </w:p>
    <w:p w:rsidR="00AE60BB" w:rsidRDefault="00AE60BB" w:rsidP="00AE60BB">
      <w:pPr>
        <w:ind w:firstLineChars="200" w:firstLine="560"/>
        <w:rPr>
          <w:sz w:val="28"/>
          <w:szCs w:val="28"/>
        </w:rPr>
      </w:pPr>
      <w:r>
        <w:rPr>
          <w:rFonts w:hint="eastAsia"/>
          <w:sz w:val="28"/>
          <w:szCs w:val="28"/>
        </w:rPr>
        <w:t>从目前的情况来看，意见分歧很大。反对者不乏其人，公开表态的如已故复旦大学教授谢</w:t>
      </w:r>
      <w:proofErr w:type="gramStart"/>
      <w:r>
        <w:rPr>
          <w:rFonts w:hint="eastAsia"/>
          <w:sz w:val="28"/>
          <w:szCs w:val="28"/>
        </w:rPr>
        <w:t>百三</w:t>
      </w:r>
      <w:proofErr w:type="gramEnd"/>
      <w:r>
        <w:rPr>
          <w:rFonts w:hint="eastAsia"/>
          <w:sz w:val="28"/>
          <w:szCs w:val="28"/>
        </w:rPr>
        <w:t>，他留下的警世之言是，房地产税是压垮中国经济的最后一根稻草。内部表态的如前税务总局</w:t>
      </w:r>
      <w:proofErr w:type="gramStart"/>
      <w:r>
        <w:rPr>
          <w:rFonts w:hint="eastAsia"/>
          <w:sz w:val="28"/>
          <w:szCs w:val="28"/>
        </w:rPr>
        <w:t>副局长许善达</w:t>
      </w:r>
      <w:proofErr w:type="gramEnd"/>
      <w:r>
        <w:rPr>
          <w:rFonts w:hint="eastAsia"/>
          <w:sz w:val="28"/>
          <w:szCs w:val="28"/>
        </w:rPr>
        <w:t>，认为开征房地产</w:t>
      </w:r>
      <w:proofErr w:type="gramStart"/>
      <w:r>
        <w:rPr>
          <w:rFonts w:hint="eastAsia"/>
          <w:sz w:val="28"/>
          <w:szCs w:val="28"/>
        </w:rPr>
        <w:t>税缺乏</w:t>
      </w:r>
      <w:proofErr w:type="gramEnd"/>
      <w:r>
        <w:rPr>
          <w:rFonts w:hint="eastAsia"/>
          <w:sz w:val="28"/>
          <w:szCs w:val="28"/>
        </w:rPr>
        <w:t>法理基础。主张开征房地产税的也大有人在，包括财科所前所长贾康和现所长刘尚希。现在还拿不定主意的如李炜光。从我国目前的决策机制和治理方式来看，凡政府决定要做的事情，都会全力推进，落实实施。政府决定要在</w:t>
      </w:r>
      <w:r>
        <w:rPr>
          <w:rFonts w:hint="eastAsia"/>
          <w:sz w:val="28"/>
          <w:szCs w:val="28"/>
        </w:rPr>
        <w:t>2020</w:t>
      </w:r>
      <w:r>
        <w:rPr>
          <w:rFonts w:hint="eastAsia"/>
          <w:sz w:val="28"/>
          <w:szCs w:val="28"/>
        </w:rPr>
        <w:t>年落实完成税改任务，</w:t>
      </w:r>
      <w:r>
        <w:rPr>
          <w:rFonts w:hint="eastAsia"/>
          <w:sz w:val="28"/>
          <w:szCs w:val="28"/>
        </w:rPr>
        <w:lastRenderedPageBreak/>
        <w:t>那么，房地产税的出台实施也就是没有任何疑义的。既然如此，讨论一下开征房地产税的目的和作用是必要的，特别是应当以什么为目的，实际以什么为目的？可能会有什么作用，</w:t>
      </w:r>
      <w:proofErr w:type="gramStart"/>
      <w:r>
        <w:rPr>
          <w:rFonts w:hint="eastAsia"/>
          <w:sz w:val="28"/>
          <w:szCs w:val="28"/>
        </w:rPr>
        <w:t>实际会</w:t>
      </w:r>
      <w:proofErr w:type="gramEnd"/>
      <w:r>
        <w:rPr>
          <w:rFonts w:hint="eastAsia"/>
          <w:sz w:val="28"/>
          <w:szCs w:val="28"/>
        </w:rPr>
        <w:t>起到什么作用。</w:t>
      </w:r>
    </w:p>
    <w:p w:rsidR="00AE60BB" w:rsidRDefault="00AE60BB" w:rsidP="00AE60BB">
      <w:pPr>
        <w:ind w:firstLineChars="200" w:firstLine="560"/>
        <w:rPr>
          <w:sz w:val="28"/>
          <w:szCs w:val="28"/>
        </w:rPr>
      </w:pPr>
      <w:r>
        <w:rPr>
          <w:rFonts w:hint="eastAsia"/>
          <w:sz w:val="28"/>
          <w:szCs w:val="28"/>
        </w:rPr>
        <w:t>从肖部长的文章和现有的讨论来看，开征房地产税的目的有三：一是完善税收制度，建设现代财政，实现税权法定，预算公开；二是确立地方主体税种，增加地方财政收入；三是抑制房价过快上涨，建立房地产发展长效机制。三者虽然都是开征房地产税的题中应有之义，但究竟以何者为主，或者说实际以什么为主，却可以大有讲究。我们按照三二一的次序分别加以讨论。</w:t>
      </w:r>
    </w:p>
    <w:p w:rsidR="00AE60BB" w:rsidRDefault="00AE60BB" w:rsidP="00AE60BB">
      <w:pPr>
        <w:rPr>
          <w:sz w:val="28"/>
          <w:szCs w:val="28"/>
        </w:rPr>
      </w:pPr>
    </w:p>
    <w:p w:rsidR="00AE60BB" w:rsidRPr="001114F6" w:rsidRDefault="00AE60BB" w:rsidP="00AE60BB">
      <w:pPr>
        <w:pStyle w:val="a4"/>
        <w:numPr>
          <w:ilvl w:val="0"/>
          <w:numId w:val="5"/>
        </w:numPr>
        <w:ind w:firstLineChars="0"/>
        <w:rPr>
          <w:sz w:val="28"/>
          <w:szCs w:val="28"/>
        </w:rPr>
      </w:pPr>
      <w:r w:rsidRPr="001114F6">
        <w:rPr>
          <w:rFonts w:hint="eastAsia"/>
          <w:sz w:val="28"/>
          <w:szCs w:val="28"/>
        </w:rPr>
        <w:t>关于抑制房价上涨</w:t>
      </w:r>
    </w:p>
    <w:p w:rsidR="00AE60BB" w:rsidRPr="001114F6" w:rsidRDefault="00AE60BB" w:rsidP="00AE60BB">
      <w:pPr>
        <w:pStyle w:val="a4"/>
        <w:ind w:left="1280" w:firstLineChars="0" w:firstLine="0"/>
        <w:rPr>
          <w:sz w:val="28"/>
          <w:szCs w:val="28"/>
        </w:rPr>
      </w:pPr>
    </w:p>
    <w:p w:rsidR="00AE60BB" w:rsidRDefault="00AE60BB" w:rsidP="00AE60BB">
      <w:pPr>
        <w:ind w:firstLineChars="200" w:firstLine="560"/>
        <w:rPr>
          <w:sz w:val="28"/>
          <w:szCs w:val="28"/>
        </w:rPr>
      </w:pPr>
      <w:r>
        <w:rPr>
          <w:rFonts w:hint="eastAsia"/>
          <w:sz w:val="28"/>
          <w:szCs w:val="28"/>
        </w:rPr>
        <w:t>最初提出开征房地产税是在房价迅速上涨的年代，很明显，当时人们是把它作为约束炒房，抑制房价过快上涨的手段。前些年，上海和重庆的双城记试点，也是出于这个目的。就是现在，人们对此也寄于厚望。财富证券对北京开征</w:t>
      </w:r>
      <w:proofErr w:type="gramStart"/>
      <w:r>
        <w:rPr>
          <w:rFonts w:hint="eastAsia"/>
          <w:sz w:val="28"/>
          <w:szCs w:val="28"/>
        </w:rPr>
        <w:t>房地税</w:t>
      </w:r>
      <w:proofErr w:type="gramEnd"/>
      <w:r>
        <w:rPr>
          <w:rFonts w:hint="eastAsia"/>
          <w:sz w:val="28"/>
          <w:szCs w:val="28"/>
        </w:rPr>
        <w:t>进行了模拟测算，如果人均住房</w:t>
      </w:r>
      <w:r>
        <w:rPr>
          <w:rFonts w:hint="eastAsia"/>
          <w:sz w:val="28"/>
          <w:szCs w:val="28"/>
        </w:rPr>
        <w:t>40</w:t>
      </w:r>
      <w:r>
        <w:rPr>
          <w:rFonts w:hint="eastAsia"/>
          <w:sz w:val="28"/>
          <w:szCs w:val="28"/>
        </w:rPr>
        <w:t>、</w:t>
      </w:r>
      <w:r>
        <w:rPr>
          <w:rFonts w:hint="eastAsia"/>
          <w:sz w:val="28"/>
          <w:szCs w:val="28"/>
        </w:rPr>
        <w:t>45</w:t>
      </w:r>
      <w:r>
        <w:rPr>
          <w:rFonts w:hint="eastAsia"/>
          <w:sz w:val="28"/>
          <w:szCs w:val="28"/>
        </w:rPr>
        <w:t>和</w:t>
      </w:r>
      <w:r>
        <w:rPr>
          <w:rFonts w:hint="eastAsia"/>
          <w:sz w:val="28"/>
          <w:szCs w:val="28"/>
        </w:rPr>
        <w:t>50</w:t>
      </w:r>
      <w:r>
        <w:rPr>
          <w:rFonts w:hint="eastAsia"/>
          <w:sz w:val="28"/>
          <w:szCs w:val="28"/>
        </w:rPr>
        <w:t>平方米免税，考虑到其对新增住房供求的影响，北京市房价下跌的范围在</w:t>
      </w:r>
      <w:r>
        <w:rPr>
          <w:rFonts w:hint="eastAsia"/>
          <w:sz w:val="28"/>
          <w:szCs w:val="28"/>
        </w:rPr>
        <w:t>11-38%</w:t>
      </w:r>
      <w:r>
        <w:rPr>
          <w:rFonts w:hint="eastAsia"/>
          <w:sz w:val="28"/>
          <w:szCs w:val="28"/>
        </w:rPr>
        <w:t>、</w:t>
      </w:r>
      <w:r>
        <w:rPr>
          <w:rFonts w:hint="eastAsia"/>
          <w:sz w:val="28"/>
          <w:szCs w:val="28"/>
        </w:rPr>
        <w:t>10-25%</w:t>
      </w:r>
      <w:r>
        <w:rPr>
          <w:rFonts w:hint="eastAsia"/>
          <w:sz w:val="28"/>
          <w:szCs w:val="28"/>
        </w:rPr>
        <w:t>和</w:t>
      </w:r>
      <w:r>
        <w:rPr>
          <w:rFonts w:hint="eastAsia"/>
          <w:sz w:val="28"/>
          <w:szCs w:val="28"/>
        </w:rPr>
        <w:t>5-12%</w:t>
      </w:r>
      <w:r>
        <w:rPr>
          <w:rFonts w:hint="eastAsia"/>
          <w:sz w:val="28"/>
          <w:szCs w:val="28"/>
        </w:rPr>
        <w:t>。这种模拟是有意义的，但实际情况会怎么样，恐怕是模拟不了的。从理论上来看，开征房地产税会增加房子的持有成本，在其他条件不变的情况下，自然会抑制需求，增加供给，导致房价下跌。模拟测算也是据此而做的。但是影响房价的因素很多，且不同的市场条件会出现不同的情况。比如，在</w:t>
      </w:r>
      <w:r>
        <w:rPr>
          <w:rFonts w:hint="eastAsia"/>
          <w:sz w:val="28"/>
          <w:szCs w:val="28"/>
        </w:rPr>
        <w:lastRenderedPageBreak/>
        <w:t>需求大于供给的地区，开征房地产税，卖方有可能把税收负担转嫁给买方，同时在增加出租房源的同时，也可能提高房租，因此，开征房地产税能否使房价下跌，能否下跌到上述比例，恐怕还值得进一步观察。与此同时，随着房地产税的征收，其他因素会怎样变化，是抑制还是刺激房价，还说不定。讨论这样的问题，不能以其他条件</w:t>
      </w:r>
      <w:proofErr w:type="gramStart"/>
      <w:r>
        <w:rPr>
          <w:rFonts w:hint="eastAsia"/>
          <w:sz w:val="28"/>
          <w:szCs w:val="28"/>
        </w:rPr>
        <w:t>不</w:t>
      </w:r>
      <w:proofErr w:type="gramEnd"/>
      <w:r>
        <w:rPr>
          <w:rFonts w:hint="eastAsia"/>
          <w:sz w:val="28"/>
          <w:szCs w:val="28"/>
        </w:rPr>
        <w:t>变为前提。这是沙盘推演，不是现实生活。</w:t>
      </w:r>
    </w:p>
    <w:p w:rsidR="00AE60BB" w:rsidRDefault="00AE60BB" w:rsidP="00AE60BB">
      <w:pPr>
        <w:ind w:firstLineChars="200" w:firstLine="560"/>
        <w:rPr>
          <w:sz w:val="28"/>
          <w:szCs w:val="28"/>
        </w:rPr>
      </w:pPr>
      <w:r>
        <w:rPr>
          <w:rFonts w:hint="eastAsia"/>
          <w:sz w:val="28"/>
          <w:szCs w:val="28"/>
        </w:rPr>
        <w:t>关于房地产业平稳发展的长效机制更是一系列制度安排的综合，其主体是住房制度本身，此外，还有住房金融制度、住房土地制度和房地产税收制度。我们的住房制度本身就相当复杂和相当混乱，城乡有别，公有产权和私有产权以及共有产权房、大产权房和小产权房也不一样，政府的“五限”（限购、限贷、限价、限售、限商）虽然抑制了房价的过快上涨，但却直接干预和扭曲了房地产市场，而住房金融和土地制度则成为房价上涨的重要推手，不解决这些问题，仅仅靠开征</w:t>
      </w:r>
      <w:proofErr w:type="gramStart"/>
      <w:r>
        <w:rPr>
          <w:rFonts w:hint="eastAsia"/>
          <w:sz w:val="28"/>
          <w:szCs w:val="28"/>
        </w:rPr>
        <w:t>房地产税能建立</w:t>
      </w:r>
      <w:proofErr w:type="gramEnd"/>
      <w:r>
        <w:rPr>
          <w:rFonts w:hint="eastAsia"/>
          <w:sz w:val="28"/>
          <w:szCs w:val="28"/>
        </w:rPr>
        <w:t>长效机制吗？房地产税制的设计和实施能适当吗？退一步讲，即使适当，又能解决多少问题？这是一种仅就房地产谈房地产税的思路。</w:t>
      </w:r>
    </w:p>
    <w:p w:rsidR="00AE60BB" w:rsidRDefault="00AE60BB" w:rsidP="00AE60BB">
      <w:pPr>
        <w:ind w:firstLineChars="200" w:firstLine="560"/>
        <w:rPr>
          <w:sz w:val="28"/>
          <w:szCs w:val="28"/>
        </w:rPr>
      </w:pPr>
    </w:p>
    <w:p w:rsidR="00AE60BB" w:rsidRPr="001114F6" w:rsidRDefault="00AE60BB" w:rsidP="00AE60BB">
      <w:pPr>
        <w:pStyle w:val="a4"/>
        <w:numPr>
          <w:ilvl w:val="0"/>
          <w:numId w:val="5"/>
        </w:numPr>
        <w:ind w:firstLineChars="0"/>
        <w:rPr>
          <w:sz w:val="28"/>
          <w:szCs w:val="28"/>
        </w:rPr>
      </w:pPr>
      <w:r w:rsidRPr="001114F6">
        <w:rPr>
          <w:rFonts w:hint="eastAsia"/>
          <w:sz w:val="28"/>
          <w:szCs w:val="28"/>
        </w:rPr>
        <w:t>关于增加地方财政收入</w:t>
      </w:r>
    </w:p>
    <w:p w:rsidR="00AE60BB" w:rsidRPr="001114F6" w:rsidRDefault="00AE60BB" w:rsidP="00AE60BB">
      <w:pPr>
        <w:pStyle w:val="a4"/>
        <w:ind w:left="1280" w:firstLineChars="0" w:firstLine="0"/>
        <w:rPr>
          <w:sz w:val="28"/>
          <w:szCs w:val="28"/>
        </w:rPr>
      </w:pPr>
    </w:p>
    <w:p w:rsidR="00AE60BB" w:rsidRDefault="00AE60BB" w:rsidP="00AE60BB">
      <w:pPr>
        <w:ind w:firstLineChars="200" w:firstLine="560"/>
        <w:rPr>
          <w:sz w:val="28"/>
          <w:szCs w:val="28"/>
        </w:rPr>
      </w:pPr>
      <w:r>
        <w:rPr>
          <w:rFonts w:hint="eastAsia"/>
          <w:sz w:val="28"/>
          <w:szCs w:val="28"/>
        </w:rPr>
        <w:t>设立地方主体税种，增加地方财政收入，确是房地产</w:t>
      </w:r>
      <w:proofErr w:type="gramStart"/>
      <w:r>
        <w:rPr>
          <w:rFonts w:hint="eastAsia"/>
          <w:sz w:val="28"/>
          <w:szCs w:val="28"/>
        </w:rPr>
        <w:t>税能够</w:t>
      </w:r>
      <w:proofErr w:type="gramEnd"/>
      <w:r>
        <w:rPr>
          <w:rFonts w:hint="eastAsia"/>
          <w:sz w:val="28"/>
          <w:szCs w:val="28"/>
        </w:rPr>
        <w:t>实现的一个目标，也是加快推进开征房地产税的现实考虑。其原因有以下几个方面。</w:t>
      </w:r>
    </w:p>
    <w:p w:rsidR="00AE60BB" w:rsidRDefault="00AE60BB" w:rsidP="00AE60BB">
      <w:pPr>
        <w:ind w:firstLineChars="200" w:firstLine="560"/>
        <w:rPr>
          <w:sz w:val="28"/>
          <w:szCs w:val="28"/>
        </w:rPr>
      </w:pPr>
      <w:r>
        <w:rPr>
          <w:rFonts w:hint="eastAsia"/>
          <w:sz w:val="28"/>
          <w:szCs w:val="28"/>
        </w:rPr>
        <w:lastRenderedPageBreak/>
        <w:t>一是自从</w:t>
      </w:r>
      <w:r>
        <w:rPr>
          <w:rFonts w:hint="eastAsia"/>
          <w:sz w:val="28"/>
          <w:szCs w:val="28"/>
        </w:rPr>
        <w:t>1994</w:t>
      </w:r>
      <w:r>
        <w:rPr>
          <w:rFonts w:hint="eastAsia"/>
          <w:sz w:val="28"/>
          <w:szCs w:val="28"/>
        </w:rPr>
        <w:t>年实行分税制改革，特别是进入本世纪以来，中央和地方财政收支增长态势明显不同，地方是支出快于收入，而中央是收入大大快于支出，因而，到</w:t>
      </w:r>
      <w:r>
        <w:rPr>
          <w:rFonts w:hint="eastAsia"/>
          <w:sz w:val="28"/>
          <w:szCs w:val="28"/>
        </w:rPr>
        <w:t>2016</w:t>
      </w:r>
      <w:r>
        <w:rPr>
          <w:rFonts w:hint="eastAsia"/>
          <w:sz w:val="28"/>
          <w:szCs w:val="28"/>
        </w:rPr>
        <w:t>年，转移支付分别占中央和地方财政收入的</w:t>
      </w:r>
      <w:r>
        <w:rPr>
          <w:rFonts w:hint="eastAsia"/>
          <w:sz w:val="28"/>
          <w:szCs w:val="28"/>
        </w:rPr>
        <w:t>60%</w:t>
      </w:r>
      <w:r>
        <w:rPr>
          <w:rFonts w:hint="eastAsia"/>
          <w:sz w:val="28"/>
          <w:szCs w:val="28"/>
        </w:rPr>
        <w:t>和</w:t>
      </w:r>
      <w:r>
        <w:rPr>
          <w:rFonts w:hint="eastAsia"/>
          <w:sz w:val="28"/>
          <w:szCs w:val="28"/>
        </w:rPr>
        <w:t>50%</w:t>
      </w:r>
      <w:r>
        <w:rPr>
          <w:rFonts w:hint="eastAsia"/>
          <w:sz w:val="28"/>
          <w:szCs w:val="28"/>
        </w:rPr>
        <w:t>以上（具体见图</w:t>
      </w:r>
      <w:r>
        <w:rPr>
          <w:rFonts w:hint="eastAsia"/>
          <w:sz w:val="28"/>
          <w:szCs w:val="28"/>
        </w:rPr>
        <w:t>1</w:t>
      </w:r>
      <w:r>
        <w:rPr>
          <w:rFonts w:hint="eastAsia"/>
          <w:sz w:val="28"/>
          <w:szCs w:val="28"/>
        </w:rPr>
        <w:t>）。这种安排的好处是便于中央对地方的控制，维护全国统一，而弊端是形成中央和地方的税收博弈，地方财政不可能独立，不可能自我约束，自我负责，自求平衡，我们的现实就是证明。</w:t>
      </w:r>
    </w:p>
    <w:p w:rsidR="00AE60BB" w:rsidRDefault="00AE60BB" w:rsidP="00AE60BB">
      <w:pPr>
        <w:ind w:firstLineChars="200" w:firstLine="560"/>
        <w:rPr>
          <w:sz w:val="28"/>
          <w:szCs w:val="28"/>
        </w:rPr>
      </w:pPr>
      <w:r>
        <w:rPr>
          <w:rFonts w:hint="eastAsia"/>
          <w:sz w:val="28"/>
          <w:szCs w:val="28"/>
        </w:rPr>
        <w:t>图</w:t>
      </w:r>
      <w:r>
        <w:rPr>
          <w:rFonts w:hint="eastAsia"/>
          <w:sz w:val="28"/>
          <w:szCs w:val="28"/>
        </w:rPr>
        <w:t>1</w:t>
      </w:r>
      <w:r>
        <w:rPr>
          <w:rFonts w:hint="eastAsia"/>
          <w:sz w:val="28"/>
          <w:szCs w:val="28"/>
        </w:rPr>
        <w:t>，近</w:t>
      </w:r>
      <w:r>
        <w:rPr>
          <w:rFonts w:hint="eastAsia"/>
          <w:sz w:val="28"/>
          <w:szCs w:val="28"/>
        </w:rPr>
        <w:t>20</w:t>
      </w:r>
      <w:r>
        <w:rPr>
          <w:rFonts w:hint="eastAsia"/>
          <w:sz w:val="28"/>
          <w:szCs w:val="28"/>
        </w:rPr>
        <w:t>年来中央和地方财政收支</w:t>
      </w:r>
    </w:p>
    <w:p w:rsidR="00AE60BB" w:rsidRDefault="00AE60BB" w:rsidP="00AE60BB">
      <w:pPr>
        <w:ind w:firstLineChars="200" w:firstLine="560"/>
        <w:rPr>
          <w:sz w:val="28"/>
          <w:szCs w:val="28"/>
        </w:rPr>
      </w:pPr>
      <w:r w:rsidRPr="00A039D0">
        <w:rPr>
          <w:noProof/>
          <w:sz w:val="28"/>
          <w:szCs w:val="28"/>
        </w:rPr>
        <w:drawing>
          <wp:inline distT="0" distB="0" distL="0" distR="0" wp14:anchorId="499834A1" wp14:editId="6F27E525">
            <wp:extent cx="5184775" cy="2752090"/>
            <wp:effectExtent l="0" t="0" r="0" b="0"/>
            <wp:docPr id="22" name="图片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4775" cy="2752090"/>
                    </a:xfrm>
                    <a:prstGeom prst="rect">
                      <a:avLst/>
                    </a:prstGeom>
                    <a:noFill/>
                    <a:ln>
                      <a:noFill/>
                    </a:ln>
                  </pic:spPr>
                </pic:pic>
              </a:graphicData>
            </a:graphic>
          </wp:inline>
        </w:drawing>
      </w:r>
    </w:p>
    <w:p w:rsidR="00AE60BB" w:rsidRDefault="00AE60BB" w:rsidP="00AE60BB">
      <w:pPr>
        <w:ind w:firstLineChars="200" w:firstLine="560"/>
        <w:rPr>
          <w:sz w:val="28"/>
          <w:szCs w:val="28"/>
        </w:rPr>
      </w:pPr>
      <w:r>
        <w:rPr>
          <w:rFonts w:hint="eastAsia"/>
          <w:sz w:val="28"/>
          <w:szCs w:val="28"/>
        </w:rPr>
        <w:t>二是不论是发达地区，还是不发达地区，土地出让</w:t>
      </w:r>
      <w:proofErr w:type="gramStart"/>
      <w:r>
        <w:rPr>
          <w:rFonts w:hint="eastAsia"/>
          <w:sz w:val="28"/>
          <w:szCs w:val="28"/>
        </w:rPr>
        <w:t>金都是</w:t>
      </w:r>
      <w:proofErr w:type="gramEnd"/>
      <w:r>
        <w:rPr>
          <w:rFonts w:hint="eastAsia"/>
          <w:sz w:val="28"/>
          <w:szCs w:val="28"/>
        </w:rPr>
        <w:t>地方政府财政收入的相当大的部分，近几年占到</w:t>
      </w:r>
      <w:r>
        <w:rPr>
          <w:rFonts w:hint="eastAsia"/>
          <w:sz w:val="28"/>
          <w:szCs w:val="28"/>
        </w:rPr>
        <w:t>40-50%</w:t>
      </w:r>
      <w:r>
        <w:rPr>
          <w:rFonts w:hint="eastAsia"/>
          <w:sz w:val="28"/>
          <w:szCs w:val="28"/>
        </w:rPr>
        <w:t>，因而有了土地财政一说。</w:t>
      </w:r>
      <w:r>
        <w:rPr>
          <w:rFonts w:hint="eastAsia"/>
          <w:sz w:val="28"/>
          <w:szCs w:val="28"/>
        </w:rPr>
        <w:t>2013</w:t>
      </w:r>
      <w:r>
        <w:rPr>
          <w:rFonts w:hint="eastAsia"/>
          <w:sz w:val="28"/>
          <w:szCs w:val="28"/>
        </w:rPr>
        <w:t>年最多，超过了地方财政收入的</w:t>
      </w:r>
      <w:r>
        <w:rPr>
          <w:rFonts w:hint="eastAsia"/>
          <w:sz w:val="28"/>
          <w:szCs w:val="28"/>
        </w:rPr>
        <w:t>60%</w:t>
      </w:r>
      <w:r>
        <w:rPr>
          <w:rFonts w:hint="eastAsia"/>
          <w:sz w:val="28"/>
          <w:szCs w:val="28"/>
        </w:rPr>
        <w:t>，此后开始减少，</w:t>
      </w:r>
      <w:r>
        <w:rPr>
          <w:rFonts w:hint="eastAsia"/>
          <w:sz w:val="28"/>
          <w:szCs w:val="28"/>
        </w:rPr>
        <w:t>2016</w:t>
      </w:r>
      <w:r>
        <w:rPr>
          <w:rFonts w:hint="eastAsia"/>
          <w:sz w:val="28"/>
          <w:szCs w:val="28"/>
        </w:rPr>
        <w:t>年的房地产热，也只有</w:t>
      </w:r>
      <w:r>
        <w:rPr>
          <w:rFonts w:hint="eastAsia"/>
          <w:sz w:val="28"/>
          <w:szCs w:val="28"/>
        </w:rPr>
        <w:t>2013</w:t>
      </w:r>
      <w:r>
        <w:rPr>
          <w:rFonts w:hint="eastAsia"/>
          <w:sz w:val="28"/>
          <w:szCs w:val="28"/>
        </w:rPr>
        <w:t>年的</w:t>
      </w:r>
      <w:r>
        <w:rPr>
          <w:rFonts w:hint="eastAsia"/>
          <w:sz w:val="28"/>
          <w:szCs w:val="28"/>
        </w:rPr>
        <w:t>85%</w:t>
      </w:r>
      <w:r>
        <w:rPr>
          <w:rFonts w:hint="eastAsia"/>
          <w:sz w:val="28"/>
          <w:szCs w:val="28"/>
        </w:rPr>
        <w:t>（具体情况如下表所示）。既然地卖得差不多了，地方财政再靠卖地过日子也就有了问题。不仅如此，土地出让金虽然让地方过了几年的舒服日子，但也许是搞乱财政关系的一大原因。</w:t>
      </w:r>
    </w:p>
    <w:tbl>
      <w:tblPr>
        <w:tblW w:w="3452" w:type="dxa"/>
        <w:tblInd w:w="108" w:type="dxa"/>
        <w:tblLook w:val="04A0" w:firstRow="1" w:lastRow="0" w:firstColumn="1" w:lastColumn="0" w:noHBand="0" w:noVBand="1"/>
      </w:tblPr>
      <w:tblGrid>
        <w:gridCol w:w="1080"/>
        <w:gridCol w:w="1276"/>
        <w:gridCol w:w="1096"/>
      </w:tblGrid>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left"/>
              <w:rPr>
                <w:rFonts w:ascii="宋体" w:eastAsia="宋体" w:hAnsi="宋体" w:cs="宋体"/>
                <w:kern w:val="0"/>
                <w:sz w:val="20"/>
                <w:szCs w:val="20"/>
              </w:rPr>
            </w:pPr>
          </w:p>
        </w:tc>
        <w:tc>
          <w:tcPr>
            <w:tcW w:w="1276" w:type="dxa"/>
            <w:tcBorders>
              <w:top w:val="nil"/>
              <w:left w:val="nil"/>
              <w:bottom w:val="nil"/>
              <w:right w:val="nil"/>
            </w:tcBorders>
            <w:shd w:val="clear" w:color="auto" w:fill="auto"/>
            <w:noWrap/>
            <w:vAlign w:val="bottom"/>
            <w:hideMark/>
          </w:tcPr>
          <w:p w:rsidR="00AE60BB" w:rsidRDefault="00AE60BB" w:rsidP="00042F82">
            <w:pPr>
              <w:widowControl/>
              <w:jc w:val="left"/>
              <w:rPr>
                <w:rFonts w:ascii="宋体" w:eastAsia="宋体" w:hAnsi="宋体" w:cs="宋体"/>
                <w:kern w:val="0"/>
                <w:sz w:val="20"/>
                <w:szCs w:val="20"/>
              </w:rPr>
            </w:pPr>
            <w:r>
              <w:rPr>
                <w:rFonts w:ascii="宋体" w:eastAsia="宋体" w:hAnsi="宋体" w:cs="宋体" w:hint="eastAsia"/>
                <w:kern w:val="0"/>
                <w:sz w:val="20"/>
                <w:szCs w:val="20"/>
              </w:rPr>
              <w:t>绝对数</w:t>
            </w:r>
          </w:p>
          <w:p w:rsidR="00AE60BB" w:rsidRPr="00F75657" w:rsidRDefault="00AE60BB" w:rsidP="00042F82">
            <w:pPr>
              <w:widowControl/>
              <w:jc w:val="left"/>
              <w:rPr>
                <w:rFonts w:ascii="宋体" w:eastAsia="宋体" w:hAnsi="宋体" w:cs="宋体"/>
                <w:kern w:val="0"/>
                <w:sz w:val="20"/>
                <w:szCs w:val="20"/>
              </w:rPr>
            </w:pPr>
            <w:r>
              <w:rPr>
                <w:rFonts w:ascii="宋体" w:eastAsia="宋体" w:hAnsi="宋体" w:cs="宋体" w:hint="eastAsia"/>
                <w:kern w:val="0"/>
                <w:sz w:val="20"/>
                <w:szCs w:val="20"/>
              </w:rPr>
              <w:t>（亿元）</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left"/>
              <w:rPr>
                <w:rFonts w:ascii="宋体" w:eastAsia="宋体" w:hAnsi="宋体" w:cs="宋体"/>
                <w:kern w:val="0"/>
                <w:sz w:val="20"/>
                <w:szCs w:val="20"/>
              </w:rPr>
            </w:pPr>
            <w:r w:rsidRPr="00F75657">
              <w:rPr>
                <w:rFonts w:ascii="宋体" w:eastAsia="宋体" w:hAnsi="宋体" w:cs="宋体" w:hint="eastAsia"/>
                <w:kern w:val="0"/>
                <w:sz w:val="20"/>
                <w:szCs w:val="20"/>
              </w:rPr>
              <w:t>增长率</w:t>
            </w:r>
            <w:r>
              <w:rPr>
                <w:rFonts w:ascii="宋体" w:eastAsia="宋体" w:hAnsi="宋体" w:cs="宋体" w:hint="eastAsia"/>
                <w:kern w:val="0"/>
                <w:sz w:val="20"/>
                <w:szCs w:val="20"/>
              </w:rPr>
              <w:t>（%）</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2003</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5421.3</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left"/>
              <w:rPr>
                <w:rFonts w:ascii="宋体" w:eastAsia="宋体" w:hAnsi="宋体" w:cs="宋体"/>
                <w:kern w:val="0"/>
                <w:sz w:val="24"/>
                <w:szCs w:val="24"/>
              </w:rPr>
            </w:pP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2004</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5894</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8.72</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2005</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5505</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-6.60</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2006</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7676.9</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39.45</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2007</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12763.5</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66.26</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2008</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9737</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-23.71</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2009</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15910.2</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63.40</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2010</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27000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69.70</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2011</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31500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14.60</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2012</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26900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-14.61</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2013</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42000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56.13</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2014</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33400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-20.48</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2015</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29800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-10.78</w:t>
            </w:r>
          </w:p>
        </w:tc>
      </w:tr>
      <w:tr w:rsidR="00AE60BB" w:rsidRPr="00F75657" w:rsidTr="00042F82">
        <w:trPr>
          <w:trHeight w:val="315"/>
        </w:trPr>
        <w:tc>
          <w:tcPr>
            <w:tcW w:w="1080"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2016</w:t>
            </w:r>
          </w:p>
        </w:tc>
        <w:tc>
          <w:tcPr>
            <w:tcW w:w="127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35600</w:t>
            </w:r>
          </w:p>
        </w:tc>
        <w:tc>
          <w:tcPr>
            <w:tcW w:w="1096" w:type="dxa"/>
            <w:tcBorders>
              <w:top w:val="nil"/>
              <w:left w:val="nil"/>
              <w:bottom w:val="nil"/>
              <w:right w:val="nil"/>
            </w:tcBorders>
            <w:shd w:val="clear" w:color="auto" w:fill="auto"/>
            <w:noWrap/>
            <w:vAlign w:val="bottom"/>
            <w:hideMark/>
          </w:tcPr>
          <w:p w:rsidR="00AE60BB" w:rsidRPr="00F75657" w:rsidRDefault="00AE60BB" w:rsidP="00042F82">
            <w:pPr>
              <w:widowControl/>
              <w:jc w:val="right"/>
              <w:rPr>
                <w:rFonts w:ascii="宋体" w:eastAsia="宋体" w:hAnsi="宋体" w:cs="宋体"/>
                <w:kern w:val="0"/>
                <w:sz w:val="24"/>
                <w:szCs w:val="24"/>
              </w:rPr>
            </w:pPr>
            <w:r w:rsidRPr="00F75657">
              <w:rPr>
                <w:rFonts w:ascii="宋体" w:eastAsia="宋体" w:hAnsi="宋体" w:cs="宋体" w:hint="eastAsia"/>
                <w:kern w:val="0"/>
                <w:sz w:val="24"/>
                <w:szCs w:val="24"/>
              </w:rPr>
              <w:t>19.46</w:t>
            </w:r>
          </w:p>
        </w:tc>
      </w:tr>
    </w:tbl>
    <w:p w:rsidR="00AE60BB" w:rsidRDefault="00AE60BB" w:rsidP="00AE60BB">
      <w:pPr>
        <w:ind w:firstLineChars="200" w:firstLine="560"/>
        <w:rPr>
          <w:sz w:val="28"/>
          <w:szCs w:val="28"/>
        </w:rPr>
      </w:pPr>
      <w:r>
        <w:rPr>
          <w:rFonts w:hint="eastAsia"/>
          <w:sz w:val="28"/>
          <w:szCs w:val="28"/>
        </w:rPr>
        <w:t>三是前已指出，辽宁、内蒙和天津等不少地方先后披露财政数据造假，现在入不付出，发生财政危机，急待增加收入，摆脱困局。中央已经明确，谁的孩子谁来抱，中央不增加转移支付，剩下的办法就是增加新的地方税种和税收。</w:t>
      </w:r>
    </w:p>
    <w:p w:rsidR="00AE60BB" w:rsidRPr="000D09B9" w:rsidRDefault="00AE60BB" w:rsidP="00AE60BB">
      <w:pPr>
        <w:ind w:firstLineChars="200" w:firstLine="560"/>
        <w:rPr>
          <w:sz w:val="28"/>
          <w:szCs w:val="28"/>
        </w:rPr>
      </w:pPr>
      <w:r>
        <w:rPr>
          <w:rFonts w:hint="eastAsia"/>
          <w:sz w:val="28"/>
          <w:szCs w:val="28"/>
        </w:rPr>
        <w:t>四是原来的税制设计中，营业税是地方的主体税种，</w:t>
      </w:r>
      <w:proofErr w:type="gramStart"/>
      <w:r>
        <w:rPr>
          <w:rFonts w:hint="eastAsia"/>
          <w:sz w:val="28"/>
          <w:szCs w:val="28"/>
        </w:rPr>
        <w:t>营改增以后</w:t>
      </w:r>
      <w:proofErr w:type="gramEnd"/>
      <w:r>
        <w:rPr>
          <w:rFonts w:hint="eastAsia"/>
          <w:sz w:val="28"/>
          <w:szCs w:val="28"/>
        </w:rPr>
        <w:t>调增了地方增值税的分成比例，但地方作为一级独立财政，没有了独立的主体税种。</w:t>
      </w:r>
    </w:p>
    <w:p w:rsidR="00AE60BB" w:rsidRDefault="00AE60BB" w:rsidP="00AE60BB">
      <w:pPr>
        <w:ind w:firstLineChars="200" w:firstLine="560"/>
        <w:rPr>
          <w:sz w:val="28"/>
          <w:szCs w:val="28"/>
        </w:rPr>
      </w:pPr>
      <w:r>
        <w:rPr>
          <w:rFonts w:hint="eastAsia"/>
          <w:sz w:val="28"/>
          <w:szCs w:val="28"/>
        </w:rPr>
        <w:t>基于以上考虑，开征房地产税的目的在于解决地方财政问题。这是可以实现的。因为，房子是不动产，不动产的税收是稳定的，不能流失。据财富证券的测算，如果北京市对超出免征面积的部分按照</w:t>
      </w:r>
      <w:r>
        <w:rPr>
          <w:rFonts w:hint="eastAsia"/>
          <w:sz w:val="28"/>
          <w:szCs w:val="28"/>
        </w:rPr>
        <w:t>2017</w:t>
      </w:r>
      <w:r>
        <w:rPr>
          <w:rFonts w:hint="eastAsia"/>
          <w:sz w:val="28"/>
          <w:szCs w:val="28"/>
        </w:rPr>
        <w:t>年第</w:t>
      </w:r>
      <w:r>
        <w:rPr>
          <w:rFonts w:hint="eastAsia"/>
          <w:sz w:val="28"/>
          <w:szCs w:val="28"/>
        </w:rPr>
        <w:t>3</w:t>
      </w:r>
      <w:r>
        <w:rPr>
          <w:rFonts w:hint="eastAsia"/>
          <w:sz w:val="28"/>
          <w:szCs w:val="28"/>
        </w:rPr>
        <w:t>季度房屋实际价值的</w:t>
      </w:r>
      <w:r>
        <w:rPr>
          <w:rFonts w:hint="eastAsia"/>
          <w:sz w:val="28"/>
          <w:szCs w:val="28"/>
        </w:rPr>
        <w:t>1%</w:t>
      </w:r>
      <w:r>
        <w:rPr>
          <w:rFonts w:hint="eastAsia"/>
          <w:sz w:val="28"/>
          <w:szCs w:val="28"/>
        </w:rPr>
        <w:t>征税，则现在有</w:t>
      </w:r>
      <w:proofErr w:type="gramStart"/>
      <w:r>
        <w:rPr>
          <w:rFonts w:hint="eastAsia"/>
          <w:sz w:val="28"/>
          <w:szCs w:val="28"/>
        </w:rPr>
        <w:t>房家庭</w:t>
      </w:r>
      <w:proofErr w:type="gramEnd"/>
      <w:r>
        <w:rPr>
          <w:rFonts w:hint="eastAsia"/>
          <w:sz w:val="28"/>
          <w:szCs w:val="28"/>
        </w:rPr>
        <w:t>人均交税额分别为</w:t>
      </w:r>
      <w:r>
        <w:rPr>
          <w:rFonts w:hint="eastAsia"/>
          <w:sz w:val="28"/>
          <w:szCs w:val="28"/>
        </w:rPr>
        <w:t>8495.4</w:t>
      </w:r>
      <w:r>
        <w:rPr>
          <w:rFonts w:hint="eastAsia"/>
          <w:sz w:val="28"/>
          <w:szCs w:val="28"/>
        </w:rPr>
        <w:t>元、</w:t>
      </w:r>
      <w:r>
        <w:rPr>
          <w:rFonts w:hint="eastAsia"/>
          <w:sz w:val="28"/>
          <w:szCs w:val="28"/>
        </w:rPr>
        <w:t>3460.1</w:t>
      </w:r>
      <w:r>
        <w:rPr>
          <w:rFonts w:hint="eastAsia"/>
          <w:sz w:val="28"/>
          <w:szCs w:val="28"/>
        </w:rPr>
        <w:t>元和</w:t>
      </w:r>
      <w:r>
        <w:rPr>
          <w:rFonts w:hint="eastAsia"/>
          <w:sz w:val="28"/>
          <w:szCs w:val="28"/>
        </w:rPr>
        <w:t>1950.4</w:t>
      </w:r>
      <w:r>
        <w:rPr>
          <w:rFonts w:hint="eastAsia"/>
          <w:sz w:val="28"/>
          <w:szCs w:val="28"/>
        </w:rPr>
        <w:t>元。即使按最低标准计算，也是相当可观的一笔收入。不过，这是一种就</w:t>
      </w:r>
      <w:proofErr w:type="gramStart"/>
      <w:r>
        <w:rPr>
          <w:rFonts w:hint="eastAsia"/>
          <w:sz w:val="28"/>
          <w:szCs w:val="28"/>
        </w:rPr>
        <w:t>税收谈税收</w:t>
      </w:r>
      <w:proofErr w:type="gramEnd"/>
      <w:r>
        <w:rPr>
          <w:rFonts w:hint="eastAsia"/>
          <w:sz w:val="28"/>
          <w:szCs w:val="28"/>
        </w:rPr>
        <w:t>的思路。虽然达到了增加地方财政收入的目标，但却无法实现建立现代财政体制</w:t>
      </w:r>
      <w:r>
        <w:rPr>
          <w:rFonts w:hint="eastAsia"/>
          <w:sz w:val="28"/>
          <w:szCs w:val="28"/>
        </w:rPr>
        <w:lastRenderedPageBreak/>
        <w:t>的目标。</w:t>
      </w:r>
    </w:p>
    <w:p w:rsidR="00AE60BB" w:rsidRDefault="00AE60BB" w:rsidP="00AE60BB">
      <w:pPr>
        <w:ind w:firstLineChars="200" w:firstLine="560"/>
        <w:rPr>
          <w:sz w:val="28"/>
          <w:szCs w:val="28"/>
        </w:rPr>
      </w:pPr>
    </w:p>
    <w:p w:rsidR="00AE60BB" w:rsidRPr="001114F6" w:rsidRDefault="00AE60BB" w:rsidP="00AE60BB">
      <w:pPr>
        <w:pStyle w:val="a4"/>
        <w:numPr>
          <w:ilvl w:val="0"/>
          <w:numId w:val="5"/>
        </w:numPr>
        <w:ind w:firstLineChars="0"/>
        <w:rPr>
          <w:sz w:val="28"/>
          <w:szCs w:val="28"/>
        </w:rPr>
      </w:pPr>
      <w:r>
        <w:rPr>
          <w:rFonts w:hint="eastAsia"/>
          <w:sz w:val="28"/>
          <w:szCs w:val="28"/>
        </w:rPr>
        <w:t>关于建立现代税收体制</w:t>
      </w:r>
    </w:p>
    <w:p w:rsidR="00AE60BB" w:rsidRDefault="00AE60BB" w:rsidP="00AE60BB">
      <w:pPr>
        <w:ind w:left="560"/>
        <w:rPr>
          <w:sz w:val="28"/>
          <w:szCs w:val="28"/>
        </w:rPr>
      </w:pPr>
    </w:p>
    <w:p w:rsidR="00AE60BB" w:rsidRDefault="00AE60BB" w:rsidP="00AE60BB">
      <w:pPr>
        <w:ind w:firstLineChars="200" w:firstLine="560"/>
        <w:rPr>
          <w:sz w:val="28"/>
          <w:szCs w:val="28"/>
        </w:rPr>
      </w:pPr>
      <w:r>
        <w:rPr>
          <w:rFonts w:hint="eastAsia"/>
          <w:sz w:val="28"/>
          <w:szCs w:val="28"/>
        </w:rPr>
        <w:t>这是</w:t>
      </w:r>
      <w:r>
        <w:rPr>
          <w:rFonts w:hint="eastAsia"/>
          <w:sz w:val="28"/>
          <w:szCs w:val="28"/>
        </w:rPr>
        <w:t>18</w:t>
      </w:r>
      <w:r>
        <w:rPr>
          <w:rFonts w:hint="eastAsia"/>
          <w:sz w:val="28"/>
          <w:szCs w:val="28"/>
        </w:rPr>
        <w:t>届</w:t>
      </w:r>
      <w:r>
        <w:rPr>
          <w:rFonts w:hint="eastAsia"/>
          <w:sz w:val="28"/>
          <w:szCs w:val="28"/>
        </w:rPr>
        <w:t>3</w:t>
      </w:r>
      <w:r>
        <w:rPr>
          <w:rFonts w:hint="eastAsia"/>
          <w:sz w:val="28"/>
          <w:szCs w:val="28"/>
        </w:rPr>
        <w:t>中全会确立的改革目标，肖部长文章的题目也画龙点睛，明白宣示。对此，我们确信不疑。问题的关键不在于确立这样的目标，而在于如何实现这一目标。</w:t>
      </w:r>
    </w:p>
    <w:p w:rsidR="00AE60BB" w:rsidRDefault="00AE60BB" w:rsidP="00AE60BB">
      <w:pPr>
        <w:ind w:firstLineChars="200" w:firstLine="560"/>
        <w:rPr>
          <w:sz w:val="28"/>
          <w:szCs w:val="28"/>
        </w:rPr>
      </w:pPr>
      <w:r>
        <w:rPr>
          <w:rFonts w:hint="eastAsia"/>
          <w:sz w:val="28"/>
          <w:szCs w:val="28"/>
        </w:rPr>
        <w:t>首先，设立地方主体税种，前提是明确中央和地方事权和财权（即现行说法叫支出责任）的划分和安排。国务院已经关注了这个问题，并出台了相关文件。应当是先确定地方政府的事权，即干什么事，然后按照干事的需要确定地方的财权，有什么收入，负什么支出责任。这也符合以支定收的原则。从我国目前的实际来看，其中最重要的是，地方官员要不要对本地的经济发展直接负责，其财政支出中是否要包括有关经济建设的支出？与此相应，考核官员政绩的标准是否要看投资和</w:t>
      </w:r>
      <w:r>
        <w:rPr>
          <w:rFonts w:hint="eastAsia"/>
          <w:sz w:val="28"/>
          <w:szCs w:val="28"/>
        </w:rPr>
        <w:t>GDP</w:t>
      </w:r>
      <w:r>
        <w:rPr>
          <w:rFonts w:hint="eastAsia"/>
          <w:sz w:val="28"/>
          <w:szCs w:val="28"/>
        </w:rPr>
        <w:t>。在不少人看来，政府一手抓公共治理，一手抓生产建设是中国模式和中国经验，如果政府要抓生产建设，钱从哪里来？恐怕税收是不能用于生产建设的，这是公共财政最基本的原则。不解决这个问题，政府行为是扭曲的，中央和地方关系是理不顺的，也有悖于建设现代财政制度的根本目的。</w:t>
      </w:r>
    </w:p>
    <w:p w:rsidR="00AE60BB" w:rsidRDefault="00AE60BB" w:rsidP="00AE60BB">
      <w:pPr>
        <w:ind w:firstLineChars="200" w:firstLine="560"/>
        <w:rPr>
          <w:sz w:val="28"/>
          <w:szCs w:val="28"/>
        </w:rPr>
      </w:pPr>
      <w:r>
        <w:rPr>
          <w:rFonts w:hint="eastAsia"/>
          <w:sz w:val="28"/>
          <w:szCs w:val="28"/>
        </w:rPr>
        <w:t>其次，房地产税的收入和支出。房地产税如何征收和支用决不仅仅是具体做法问题，其背后有着重要的原则考虑。中国地方政府有多个层级，省、地（市）、县、乡镇，由哪一级征收？是哪一级的收入？</w:t>
      </w:r>
      <w:r>
        <w:rPr>
          <w:rFonts w:hint="eastAsia"/>
          <w:sz w:val="28"/>
          <w:szCs w:val="28"/>
        </w:rPr>
        <w:lastRenderedPageBreak/>
        <w:t>现行原则是充分授权，由地方（省市自治区一级）决定。按照中国的现实，除个别财政收入充裕的地方有可能主要作为地（市）和县级收入以外，大部分地方可能主要作为省级收入，小部分由基层分享。这样房地产税收也就与其他税收没有什么区别。国外的房地产税一般由基层政府征收和支用，在很大程度上是一种学区税。这样安排目的明确，收支透明，便于纳税人监督。而我们的房地产税，从使用上看，没有明确的目的，因而只剩下了增加地方政府收入的考虑。不明确这一问题，所谓税权法定，预算公开，也只是走走立法程序而已。</w:t>
      </w:r>
    </w:p>
    <w:p w:rsidR="00AE60BB" w:rsidRDefault="00AE60BB" w:rsidP="00AE60BB">
      <w:pPr>
        <w:ind w:firstLineChars="200" w:firstLine="560"/>
        <w:rPr>
          <w:sz w:val="28"/>
          <w:szCs w:val="28"/>
        </w:rPr>
      </w:pPr>
      <w:r>
        <w:rPr>
          <w:rFonts w:hint="eastAsia"/>
          <w:sz w:val="28"/>
          <w:szCs w:val="28"/>
        </w:rPr>
        <w:t>再次，关于增税和减税。前已指出，税收是营商成本的重要组成部分，开征房地产</w:t>
      </w:r>
      <w:proofErr w:type="gramStart"/>
      <w:r>
        <w:rPr>
          <w:rFonts w:hint="eastAsia"/>
          <w:sz w:val="28"/>
          <w:szCs w:val="28"/>
        </w:rPr>
        <w:t>税显然</w:t>
      </w:r>
      <w:proofErr w:type="gramEnd"/>
      <w:r>
        <w:rPr>
          <w:rFonts w:hint="eastAsia"/>
          <w:sz w:val="28"/>
          <w:szCs w:val="28"/>
        </w:rPr>
        <w:t>是在增税，虽然征收的对象是房屋持有者个人，不像增值税和所得税那样直接影响企业成本和利润。为了使房地产</w:t>
      </w:r>
      <w:proofErr w:type="gramStart"/>
      <w:r>
        <w:rPr>
          <w:rFonts w:hint="eastAsia"/>
          <w:sz w:val="28"/>
          <w:szCs w:val="28"/>
        </w:rPr>
        <w:t>税立法</w:t>
      </w:r>
      <w:proofErr w:type="gramEnd"/>
      <w:r>
        <w:rPr>
          <w:rFonts w:hint="eastAsia"/>
          <w:sz w:val="28"/>
          <w:szCs w:val="28"/>
        </w:rPr>
        <w:t>尽快通过实施，政府考虑，在征收房地产持有环节税收的同时，适当调整和调减建设和交易环节的税收。这是一种正确的设想和考虑。但是，现有建设和交易环节的税收有</w:t>
      </w:r>
      <w:r>
        <w:rPr>
          <w:rFonts w:hint="eastAsia"/>
          <w:sz w:val="28"/>
          <w:szCs w:val="28"/>
        </w:rPr>
        <w:t>10</w:t>
      </w:r>
      <w:r>
        <w:rPr>
          <w:rFonts w:hint="eastAsia"/>
          <w:sz w:val="28"/>
          <w:szCs w:val="28"/>
        </w:rPr>
        <w:t>多种，复杂繁琐，自由裁量权很大，怎么调，怎么减也是个大学问。其实，最好的办法是合并简化，去掉大部分税种，使建设和交易环节的税收只有一、两项。这是替纳税人着想，是真正的简政。特别是土地出让金如何安排，这也许是最混乱、最不透明、最易滋生贪污腐败的事情，能否借助此次税改，将此规范化。</w:t>
      </w:r>
    </w:p>
    <w:p w:rsidR="00AE60BB" w:rsidRDefault="00AE60BB" w:rsidP="00AE60BB">
      <w:pPr>
        <w:ind w:firstLineChars="200" w:firstLine="560"/>
        <w:rPr>
          <w:sz w:val="28"/>
          <w:szCs w:val="28"/>
        </w:rPr>
      </w:pPr>
      <w:r>
        <w:rPr>
          <w:rFonts w:hint="eastAsia"/>
          <w:sz w:val="28"/>
          <w:szCs w:val="28"/>
        </w:rPr>
        <w:t>最后，开征房地产税，推进税制改革，是国之大事，关系到每一个人的切身利益。能否发动全民自由讨论，是其成败的关键一着。我们很多关系到个人利益的重要决策，还没有形成一套成熟和有效的决</w:t>
      </w:r>
      <w:r>
        <w:rPr>
          <w:rFonts w:hint="eastAsia"/>
          <w:sz w:val="28"/>
          <w:szCs w:val="28"/>
        </w:rPr>
        <w:lastRenderedPageBreak/>
        <w:t>策程序，往往是暗箱操作，少数人决定，他人不得置啄。比如，前年李炜光教授提出“死亡税率”一说，这一下惊动了财税部门的领导，又是谈话，又是组织反击，又是不准进行讨论，不准报刊发表此类意见。其实，并没有什么大不了的事情，只是庸人自扰而已。这一次应当接受经验教训，千万不要这样。特别是对是否开征房地产税分歧很大，更需要纳税人自由讨论。所谓自由讨论，就是不设禁区、不抓辫子、不打棍子、不秋后算账，什么人都可以讲话，各种意见都可以发表，好话、坏话、甚至骂人的话都可以讲。如果能够做到这一点，将是中国社会的巨大进步。</w:t>
      </w:r>
    </w:p>
    <w:p w:rsidR="00AE60BB" w:rsidRDefault="00AE60BB" w:rsidP="00AE60BB">
      <w:pPr>
        <w:ind w:firstLineChars="200" w:firstLine="560"/>
        <w:rPr>
          <w:sz w:val="28"/>
          <w:szCs w:val="28"/>
        </w:rPr>
      </w:pPr>
      <w:r>
        <w:rPr>
          <w:rFonts w:hint="eastAsia"/>
          <w:sz w:val="28"/>
          <w:szCs w:val="28"/>
        </w:rPr>
        <w:t>房地产</w:t>
      </w:r>
      <w:proofErr w:type="gramStart"/>
      <w:r>
        <w:rPr>
          <w:rFonts w:hint="eastAsia"/>
          <w:sz w:val="28"/>
          <w:szCs w:val="28"/>
        </w:rPr>
        <w:t>持有税</w:t>
      </w:r>
      <w:proofErr w:type="gramEnd"/>
      <w:r>
        <w:rPr>
          <w:rFonts w:hint="eastAsia"/>
          <w:sz w:val="28"/>
          <w:szCs w:val="28"/>
        </w:rPr>
        <w:t>是直接税，是要每一个有房产的人掏钱的。如果搞得好，有可能倒逼和真正推动中国的民主法治建设和中国社会的进步。如果搞砸了，就失去了一次重要的机会。我们期盼，真正以建立现代财政制度为目的，妥善解决上述问题，制定一个开征房地产税的可操作的有效方案，交纳税人自由讨论，最后由人大批准通过，一步一步不走样地实施。</w:t>
      </w:r>
    </w:p>
    <w:p w:rsidR="00AE60BB" w:rsidRDefault="00AE60BB" w:rsidP="00AE60BB">
      <w:pPr>
        <w:rPr>
          <w:sz w:val="28"/>
          <w:szCs w:val="28"/>
        </w:rPr>
      </w:pPr>
    </w:p>
    <w:p w:rsidR="00AE60BB" w:rsidRDefault="00AE60BB" w:rsidP="00AE60BB">
      <w:pPr>
        <w:jc w:val="center"/>
        <w:rPr>
          <w:sz w:val="28"/>
          <w:szCs w:val="28"/>
        </w:rPr>
      </w:pPr>
      <w:r>
        <w:rPr>
          <w:rFonts w:hint="eastAsia"/>
          <w:sz w:val="28"/>
          <w:szCs w:val="28"/>
        </w:rPr>
        <w:t>五，趋势预测</w:t>
      </w:r>
    </w:p>
    <w:p w:rsidR="00AE60BB" w:rsidRDefault="00AE60BB" w:rsidP="00AE60BB">
      <w:pPr>
        <w:rPr>
          <w:sz w:val="28"/>
          <w:szCs w:val="28"/>
        </w:rPr>
      </w:pPr>
    </w:p>
    <w:p w:rsidR="00AE60BB" w:rsidRDefault="00AE60BB" w:rsidP="00AE60BB">
      <w:pPr>
        <w:ind w:firstLine="540"/>
        <w:rPr>
          <w:sz w:val="28"/>
          <w:szCs w:val="28"/>
        </w:rPr>
      </w:pPr>
      <w:r>
        <w:rPr>
          <w:rFonts w:hint="eastAsia"/>
          <w:sz w:val="28"/>
          <w:szCs w:val="28"/>
        </w:rPr>
        <w:t>目前，全球经济向好，中国的外部经济在高位运行。据中国社会科学院世界经济与政治研究所</w:t>
      </w:r>
      <w:r>
        <w:rPr>
          <w:rFonts w:hint="eastAsia"/>
          <w:sz w:val="28"/>
          <w:szCs w:val="28"/>
        </w:rPr>
        <w:t>CEEM</w:t>
      </w:r>
      <w:r>
        <w:rPr>
          <w:rFonts w:hint="eastAsia"/>
          <w:sz w:val="28"/>
          <w:szCs w:val="28"/>
        </w:rPr>
        <w:t>（世界经济预测与政策模拟实验室</w:t>
      </w:r>
      <w:r>
        <w:rPr>
          <w:rFonts w:hint="eastAsia"/>
          <w:sz w:val="28"/>
          <w:szCs w:val="28"/>
        </w:rPr>
        <w:t xml:space="preserve"> </w:t>
      </w:r>
      <w:r>
        <w:rPr>
          <w:rFonts w:hint="eastAsia"/>
          <w:sz w:val="28"/>
          <w:szCs w:val="28"/>
        </w:rPr>
        <w:t>）的报告，</w:t>
      </w:r>
      <w:r>
        <w:rPr>
          <w:rFonts w:hint="eastAsia"/>
          <w:sz w:val="28"/>
          <w:szCs w:val="28"/>
        </w:rPr>
        <w:t>2017</w:t>
      </w:r>
      <w:r>
        <w:rPr>
          <w:rFonts w:hint="eastAsia"/>
          <w:sz w:val="28"/>
          <w:szCs w:val="28"/>
        </w:rPr>
        <w:t>年第</w:t>
      </w:r>
      <w:r>
        <w:rPr>
          <w:rFonts w:hint="eastAsia"/>
          <w:sz w:val="28"/>
          <w:szCs w:val="28"/>
        </w:rPr>
        <w:t>4</w:t>
      </w:r>
      <w:r>
        <w:rPr>
          <w:rFonts w:hint="eastAsia"/>
          <w:sz w:val="28"/>
          <w:szCs w:val="28"/>
        </w:rPr>
        <w:t>季度，中国外部经济综合</w:t>
      </w:r>
      <w:r>
        <w:rPr>
          <w:rFonts w:hint="eastAsia"/>
          <w:sz w:val="28"/>
          <w:szCs w:val="28"/>
        </w:rPr>
        <w:t>CEEM-PMI</w:t>
      </w:r>
      <w:r>
        <w:rPr>
          <w:rFonts w:hint="eastAsia"/>
          <w:sz w:val="28"/>
          <w:szCs w:val="28"/>
        </w:rPr>
        <w:t>为</w:t>
      </w:r>
      <w:r>
        <w:rPr>
          <w:rFonts w:hint="eastAsia"/>
          <w:sz w:val="28"/>
          <w:szCs w:val="28"/>
        </w:rPr>
        <w:t>56.6</w:t>
      </w:r>
      <w:r>
        <w:rPr>
          <w:rFonts w:hint="eastAsia"/>
          <w:sz w:val="28"/>
          <w:szCs w:val="28"/>
        </w:rPr>
        <w:t>，比</w:t>
      </w:r>
      <w:r>
        <w:rPr>
          <w:rFonts w:hint="eastAsia"/>
          <w:sz w:val="28"/>
          <w:szCs w:val="28"/>
        </w:rPr>
        <w:t>3</w:t>
      </w:r>
      <w:r>
        <w:rPr>
          <w:rFonts w:hint="eastAsia"/>
          <w:sz w:val="28"/>
          <w:szCs w:val="28"/>
        </w:rPr>
        <w:t>季度上升</w:t>
      </w:r>
      <w:r>
        <w:rPr>
          <w:rFonts w:hint="eastAsia"/>
          <w:sz w:val="28"/>
          <w:szCs w:val="28"/>
        </w:rPr>
        <w:t xml:space="preserve"> 1.1</w:t>
      </w:r>
      <w:r>
        <w:rPr>
          <w:rFonts w:hint="eastAsia"/>
          <w:sz w:val="28"/>
          <w:szCs w:val="28"/>
        </w:rPr>
        <w:t>个百分点，是</w:t>
      </w:r>
      <w:r>
        <w:rPr>
          <w:rFonts w:hint="eastAsia"/>
          <w:sz w:val="28"/>
          <w:szCs w:val="28"/>
        </w:rPr>
        <w:t>2012</w:t>
      </w:r>
      <w:r>
        <w:rPr>
          <w:rFonts w:hint="eastAsia"/>
          <w:sz w:val="28"/>
          <w:szCs w:val="28"/>
        </w:rPr>
        <w:t>年以来新高，全球经济整体景</w:t>
      </w:r>
      <w:r>
        <w:rPr>
          <w:rFonts w:hint="eastAsia"/>
          <w:sz w:val="28"/>
          <w:szCs w:val="28"/>
        </w:rPr>
        <w:lastRenderedPageBreak/>
        <w:t>气处于高位。大宗商品价格进一步升高，</w:t>
      </w:r>
      <w:r>
        <w:rPr>
          <w:rFonts w:hint="eastAsia"/>
          <w:sz w:val="28"/>
          <w:szCs w:val="28"/>
        </w:rPr>
        <w:t>CEEM</w:t>
      </w:r>
      <w:r>
        <w:rPr>
          <w:rFonts w:hint="eastAsia"/>
          <w:sz w:val="28"/>
          <w:szCs w:val="28"/>
        </w:rPr>
        <w:t>大宗商品价格环比上涨</w:t>
      </w:r>
      <w:r>
        <w:rPr>
          <w:rFonts w:hint="eastAsia"/>
          <w:sz w:val="28"/>
          <w:szCs w:val="28"/>
        </w:rPr>
        <w:t>6.2%</w:t>
      </w:r>
      <w:r>
        <w:rPr>
          <w:rFonts w:hint="eastAsia"/>
          <w:sz w:val="28"/>
          <w:szCs w:val="28"/>
        </w:rPr>
        <w:t>，同比上涨</w:t>
      </w:r>
      <w:r>
        <w:rPr>
          <w:rFonts w:hint="eastAsia"/>
          <w:sz w:val="28"/>
          <w:szCs w:val="28"/>
        </w:rPr>
        <w:t>7.2%</w:t>
      </w:r>
      <w:r>
        <w:rPr>
          <w:rFonts w:hint="eastAsia"/>
          <w:sz w:val="28"/>
          <w:szCs w:val="28"/>
        </w:rPr>
        <w:t>。全球金融市场基本稳定，外汇、货币、债券均未出现大的波动，发达经济体的股市接连创出新高，或接近历史峰值。据此，各大国际机构都调高了对世界和中国</w:t>
      </w:r>
      <w:r>
        <w:rPr>
          <w:rFonts w:hint="eastAsia"/>
          <w:sz w:val="28"/>
          <w:szCs w:val="28"/>
        </w:rPr>
        <w:t>2018</w:t>
      </w:r>
      <w:r>
        <w:rPr>
          <w:rFonts w:hint="eastAsia"/>
          <w:sz w:val="28"/>
          <w:szCs w:val="28"/>
        </w:rPr>
        <w:t>和</w:t>
      </w:r>
      <w:r>
        <w:rPr>
          <w:rFonts w:hint="eastAsia"/>
          <w:sz w:val="28"/>
          <w:szCs w:val="28"/>
        </w:rPr>
        <w:t>2019</w:t>
      </w:r>
      <w:r>
        <w:rPr>
          <w:rFonts w:hint="eastAsia"/>
          <w:sz w:val="28"/>
          <w:szCs w:val="28"/>
        </w:rPr>
        <w:t>年的经济预测。</w:t>
      </w:r>
      <w:r>
        <w:rPr>
          <w:rFonts w:hint="eastAsia"/>
          <w:sz w:val="28"/>
          <w:szCs w:val="28"/>
        </w:rPr>
        <w:t>1</w:t>
      </w:r>
      <w:r>
        <w:rPr>
          <w:rFonts w:hint="eastAsia"/>
          <w:sz w:val="28"/>
          <w:szCs w:val="28"/>
        </w:rPr>
        <w:t>月</w:t>
      </w:r>
      <w:r>
        <w:rPr>
          <w:rFonts w:hint="eastAsia"/>
          <w:sz w:val="28"/>
          <w:szCs w:val="28"/>
        </w:rPr>
        <w:t>22</w:t>
      </w:r>
      <w:r>
        <w:rPr>
          <w:rFonts w:hint="eastAsia"/>
          <w:sz w:val="28"/>
          <w:szCs w:val="28"/>
        </w:rPr>
        <w:t>日，</w:t>
      </w:r>
      <w:r>
        <w:rPr>
          <w:rFonts w:hint="eastAsia"/>
          <w:sz w:val="28"/>
          <w:szCs w:val="28"/>
        </w:rPr>
        <w:t>IMF</w:t>
      </w:r>
      <w:r>
        <w:rPr>
          <w:rFonts w:hint="eastAsia"/>
          <w:sz w:val="28"/>
          <w:szCs w:val="28"/>
        </w:rPr>
        <w:t>发布的最新一期《世界经济展望》，把</w:t>
      </w:r>
      <w:r>
        <w:rPr>
          <w:rFonts w:hint="eastAsia"/>
          <w:sz w:val="28"/>
          <w:szCs w:val="28"/>
        </w:rPr>
        <w:t>2018</w:t>
      </w:r>
      <w:r>
        <w:rPr>
          <w:rFonts w:hint="eastAsia"/>
          <w:sz w:val="28"/>
          <w:szCs w:val="28"/>
        </w:rPr>
        <w:t>和</w:t>
      </w:r>
      <w:r>
        <w:rPr>
          <w:rFonts w:hint="eastAsia"/>
          <w:sz w:val="28"/>
          <w:szCs w:val="28"/>
        </w:rPr>
        <w:t>2019</w:t>
      </w:r>
      <w:r>
        <w:rPr>
          <w:rFonts w:hint="eastAsia"/>
          <w:sz w:val="28"/>
          <w:szCs w:val="28"/>
        </w:rPr>
        <w:t>年的世界经济增长预测均调高</w:t>
      </w:r>
      <w:r>
        <w:rPr>
          <w:rFonts w:hint="eastAsia"/>
          <w:sz w:val="28"/>
          <w:szCs w:val="28"/>
        </w:rPr>
        <w:t>0.2</w:t>
      </w:r>
      <w:r>
        <w:rPr>
          <w:rFonts w:hint="eastAsia"/>
          <w:sz w:val="28"/>
          <w:szCs w:val="28"/>
        </w:rPr>
        <w:t>个百分点为</w:t>
      </w:r>
      <w:r>
        <w:rPr>
          <w:rFonts w:hint="eastAsia"/>
          <w:sz w:val="28"/>
          <w:szCs w:val="28"/>
        </w:rPr>
        <w:t>3.9%</w:t>
      </w:r>
      <w:r>
        <w:rPr>
          <w:rFonts w:hint="eastAsia"/>
          <w:sz w:val="28"/>
          <w:szCs w:val="28"/>
        </w:rPr>
        <w:t>和</w:t>
      </w:r>
      <w:r>
        <w:rPr>
          <w:rFonts w:hint="eastAsia"/>
          <w:sz w:val="28"/>
          <w:szCs w:val="28"/>
        </w:rPr>
        <w:t>3.7%</w:t>
      </w:r>
      <w:r>
        <w:rPr>
          <w:rFonts w:hint="eastAsia"/>
          <w:sz w:val="28"/>
          <w:szCs w:val="28"/>
        </w:rPr>
        <w:t>，其中，美国经济分别从</w:t>
      </w:r>
      <w:r>
        <w:rPr>
          <w:rFonts w:hint="eastAsia"/>
          <w:sz w:val="28"/>
          <w:szCs w:val="28"/>
        </w:rPr>
        <w:t>2.3%</w:t>
      </w:r>
      <w:r>
        <w:rPr>
          <w:rFonts w:hint="eastAsia"/>
          <w:sz w:val="28"/>
          <w:szCs w:val="28"/>
        </w:rPr>
        <w:t>和</w:t>
      </w:r>
      <w:r>
        <w:rPr>
          <w:rFonts w:hint="eastAsia"/>
          <w:sz w:val="28"/>
          <w:szCs w:val="28"/>
        </w:rPr>
        <w:t>1.9%</w:t>
      </w:r>
      <w:r>
        <w:rPr>
          <w:rFonts w:hint="eastAsia"/>
          <w:sz w:val="28"/>
          <w:szCs w:val="28"/>
        </w:rPr>
        <w:t>提高到</w:t>
      </w:r>
      <w:r>
        <w:rPr>
          <w:rFonts w:hint="eastAsia"/>
          <w:sz w:val="28"/>
          <w:szCs w:val="28"/>
        </w:rPr>
        <w:t>2.7%</w:t>
      </w:r>
      <w:r>
        <w:rPr>
          <w:rFonts w:hint="eastAsia"/>
          <w:sz w:val="28"/>
          <w:szCs w:val="28"/>
        </w:rPr>
        <w:t>和</w:t>
      </w:r>
      <w:r>
        <w:rPr>
          <w:rFonts w:hint="eastAsia"/>
          <w:sz w:val="28"/>
          <w:szCs w:val="28"/>
        </w:rPr>
        <w:t>2.5%</w:t>
      </w:r>
      <w:r>
        <w:rPr>
          <w:rFonts w:hint="eastAsia"/>
          <w:sz w:val="28"/>
          <w:szCs w:val="28"/>
        </w:rPr>
        <w:t>，中国分别从</w:t>
      </w:r>
      <w:r>
        <w:rPr>
          <w:rFonts w:hint="eastAsia"/>
          <w:sz w:val="28"/>
          <w:szCs w:val="28"/>
        </w:rPr>
        <w:t>6.5%</w:t>
      </w:r>
      <w:r>
        <w:rPr>
          <w:rFonts w:hint="eastAsia"/>
          <w:sz w:val="28"/>
          <w:szCs w:val="28"/>
        </w:rPr>
        <w:t>和</w:t>
      </w:r>
      <w:r>
        <w:rPr>
          <w:rFonts w:hint="eastAsia"/>
          <w:sz w:val="28"/>
          <w:szCs w:val="28"/>
        </w:rPr>
        <w:t>6.3%</w:t>
      </w:r>
      <w:r>
        <w:rPr>
          <w:rFonts w:hint="eastAsia"/>
          <w:sz w:val="28"/>
          <w:szCs w:val="28"/>
        </w:rPr>
        <w:t>提高到</w:t>
      </w:r>
      <w:r>
        <w:rPr>
          <w:rFonts w:hint="eastAsia"/>
          <w:sz w:val="28"/>
          <w:szCs w:val="28"/>
        </w:rPr>
        <w:t>6.6%</w:t>
      </w:r>
      <w:r>
        <w:rPr>
          <w:rFonts w:hint="eastAsia"/>
          <w:sz w:val="28"/>
          <w:szCs w:val="28"/>
        </w:rPr>
        <w:t>和</w:t>
      </w:r>
      <w:r>
        <w:rPr>
          <w:rFonts w:hint="eastAsia"/>
          <w:sz w:val="28"/>
          <w:szCs w:val="28"/>
        </w:rPr>
        <w:t>6.4%</w:t>
      </w:r>
      <w:r>
        <w:rPr>
          <w:rFonts w:hint="eastAsia"/>
          <w:sz w:val="28"/>
          <w:szCs w:val="28"/>
        </w:rPr>
        <w:t>。</w:t>
      </w:r>
      <w:r>
        <w:rPr>
          <w:rFonts w:hint="eastAsia"/>
          <w:sz w:val="28"/>
          <w:szCs w:val="28"/>
        </w:rPr>
        <w:t>1</w:t>
      </w:r>
      <w:r>
        <w:rPr>
          <w:rFonts w:hint="eastAsia"/>
          <w:sz w:val="28"/>
          <w:szCs w:val="28"/>
        </w:rPr>
        <w:t>月</w:t>
      </w:r>
      <w:r>
        <w:rPr>
          <w:rFonts w:hint="eastAsia"/>
          <w:sz w:val="28"/>
          <w:szCs w:val="28"/>
        </w:rPr>
        <w:t>9</w:t>
      </w:r>
      <w:r>
        <w:rPr>
          <w:rFonts w:hint="eastAsia"/>
          <w:sz w:val="28"/>
          <w:szCs w:val="28"/>
        </w:rPr>
        <w:t>日，世界银行发表最新一期《全球经济展望》，受亚洲新兴经济体和中国的拉动，</w:t>
      </w:r>
      <w:r>
        <w:rPr>
          <w:rFonts w:hint="eastAsia"/>
          <w:sz w:val="28"/>
          <w:szCs w:val="28"/>
        </w:rPr>
        <w:t>2018</w:t>
      </w:r>
      <w:r>
        <w:rPr>
          <w:rFonts w:hint="eastAsia"/>
          <w:sz w:val="28"/>
          <w:szCs w:val="28"/>
        </w:rPr>
        <w:t>和</w:t>
      </w:r>
      <w:r>
        <w:rPr>
          <w:rFonts w:hint="eastAsia"/>
          <w:sz w:val="28"/>
          <w:szCs w:val="28"/>
        </w:rPr>
        <w:t>2019</w:t>
      </w:r>
      <w:r>
        <w:rPr>
          <w:rFonts w:hint="eastAsia"/>
          <w:sz w:val="28"/>
          <w:szCs w:val="28"/>
        </w:rPr>
        <w:t>年世界经济分别增长</w:t>
      </w:r>
      <w:r>
        <w:rPr>
          <w:rFonts w:hint="eastAsia"/>
          <w:sz w:val="28"/>
          <w:szCs w:val="28"/>
        </w:rPr>
        <w:t>3.1%</w:t>
      </w:r>
      <w:r>
        <w:rPr>
          <w:rFonts w:hint="eastAsia"/>
          <w:sz w:val="28"/>
          <w:szCs w:val="28"/>
        </w:rPr>
        <w:t>和</w:t>
      </w:r>
      <w:r>
        <w:rPr>
          <w:rFonts w:hint="eastAsia"/>
          <w:sz w:val="28"/>
          <w:szCs w:val="28"/>
        </w:rPr>
        <w:t>3%</w:t>
      </w:r>
      <w:r>
        <w:rPr>
          <w:rFonts w:hint="eastAsia"/>
          <w:sz w:val="28"/>
          <w:szCs w:val="28"/>
        </w:rPr>
        <w:t>，较去年</w:t>
      </w:r>
      <w:r>
        <w:rPr>
          <w:rFonts w:hint="eastAsia"/>
          <w:sz w:val="28"/>
          <w:szCs w:val="28"/>
        </w:rPr>
        <w:t>6</w:t>
      </w:r>
      <w:r>
        <w:rPr>
          <w:rFonts w:hint="eastAsia"/>
          <w:sz w:val="28"/>
          <w:szCs w:val="28"/>
        </w:rPr>
        <w:t>月预测值分别上调</w:t>
      </w:r>
      <w:r>
        <w:rPr>
          <w:rFonts w:hint="eastAsia"/>
          <w:sz w:val="28"/>
          <w:szCs w:val="28"/>
        </w:rPr>
        <w:t>0.2</w:t>
      </w:r>
      <w:r>
        <w:rPr>
          <w:rFonts w:hint="eastAsia"/>
          <w:sz w:val="28"/>
          <w:szCs w:val="28"/>
        </w:rPr>
        <w:t>和</w:t>
      </w:r>
      <w:r>
        <w:rPr>
          <w:rFonts w:hint="eastAsia"/>
          <w:sz w:val="28"/>
          <w:szCs w:val="28"/>
        </w:rPr>
        <w:t>0.1</w:t>
      </w:r>
      <w:r>
        <w:rPr>
          <w:rFonts w:hint="eastAsia"/>
          <w:sz w:val="28"/>
          <w:szCs w:val="28"/>
        </w:rPr>
        <w:t>个百分点。而预测</w:t>
      </w:r>
      <w:r>
        <w:rPr>
          <w:rFonts w:hint="eastAsia"/>
          <w:sz w:val="28"/>
          <w:szCs w:val="28"/>
        </w:rPr>
        <w:t>2018</w:t>
      </w:r>
      <w:r>
        <w:rPr>
          <w:rFonts w:hint="eastAsia"/>
          <w:sz w:val="28"/>
          <w:szCs w:val="28"/>
        </w:rPr>
        <w:t>年中国经济增长</w:t>
      </w:r>
      <w:r>
        <w:rPr>
          <w:rFonts w:hint="eastAsia"/>
          <w:sz w:val="28"/>
          <w:szCs w:val="28"/>
        </w:rPr>
        <w:t>6.4%</w:t>
      </w:r>
      <w:r>
        <w:rPr>
          <w:rFonts w:hint="eastAsia"/>
          <w:sz w:val="28"/>
          <w:szCs w:val="28"/>
        </w:rPr>
        <w:t>，调高</w:t>
      </w:r>
      <w:r>
        <w:rPr>
          <w:rFonts w:hint="eastAsia"/>
          <w:sz w:val="28"/>
          <w:szCs w:val="28"/>
        </w:rPr>
        <w:t>0.1</w:t>
      </w:r>
      <w:r>
        <w:rPr>
          <w:rFonts w:hint="eastAsia"/>
          <w:sz w:val="28"/>
          <w:szCs w:val="28"/>
        </w:rPr>
        <w:t>个百分点。</w:t>
      </w:r>
    </w:p>
    <w:p w:rsidR="00AE60BB" w:rsidRDefault="00AE60BB" w:rsidP="00AE60BB">
      <w:pPr>
        <w:ind w:firstLine="540"/>
        <w:rPr>
          <w:sz w:val="28"/>
          <w:szCs w:val="28"/>
        </w:rPr>
      </w:pPr>
      <w:r>
        <w:rPr>
          <w:rFonts w:hint="eastAsia"/>
          <w:sz w:val="28"/>
          <w:szCs w:val="28"/>
        </w:rPr>
        <w:t>对于</w:t>
      </w:r>
      <w:r>
        <w:rPr>
          <w:rFonts w:hint="eastAsia"/>
          <w:sz w:val="28"/>
          <w:szCs w:val="28"/>
        </w:rPr>
        <w:t>2018</w:t>
      </w:r>
      <w:r>
        <w:rPr>
          <w:rFonts w:hint="eastAsia"/>
          <w:sz w:val="28"/>
          <w:szCs w:val="28"/>
        </w:rPr>
        <w:t>年中国的经济增长，我们的预测比较谨慎。尽管世界经济处于高位，中国的外贸进出口的增长还会保持相对较快的增长态势，但中国的投资增长会继续趋缓，特别是中国经济的转型升级还处在关键时期，经济中一系列问题还需要进行调整和解决，如，近几年货币增长过快，中国企业的杠杆率不低；中国地方政府负债率相当高，而地方财政收入的增长明显下降，有的地方已经出现危机；中国房地产泡沫也很明显，不能再把它作为经济增长的引擎；中国经济的创新还未取得突破，而突破的条件和动力都还不足，营商环境的改善也非</w:t>
      </w:r>
      <w:proofErr w:type="gramStart"/>
      <w:r>
        <w:rPr>
          <w:rFonts w:hint="eastAsia"/>
          <w:sz w:val="28"/>
          <w:szCs w:val="28"/>
        </w:rPr>
        <w:t>一</w:t>
      </w:r>
      <w:proofErr w:type="gramEnd"/>
      <w:r>
        <w:rPr>
          <w:rFonts w:hint="eastAsia"/>
          <w:sz w:val="28"/>
          <w:szCs w:val="28"/>
        </w:rPr>
        <w:t>夕之功。正如</w:t>
      </w:r>
      <w:r>
        <w:rPr>
          <w:rFonts w:hint="eastAsia"/>
          <w:sz w:val="28"/>
          <w:szCs w:val="28"/>
        </w:rPr>
        <w:t>CEEM</w:t>
      </w:r>
      <w:r>
        <w:rPr>
          <w:rFonts w:hint="eastAsia"/>
          <w:sz w:val="28"/>
          <w:szCs w:val="28"/>
        </w:rPr>
        <w:t>的报告所说，</w:t>
      </w:r>
      <w:r>
        <w:rPr>
          <w:rFonts w:hint="eastAsia"/>
          <w:sz w:val="28"/>
          <w:szCs w:val="28"/>
        </w:rPr>
        <w:t>2018</w:t>
      </w:r>
      <w:r>
        <w:rPr>
          <w:rFonts w:hint="eastAsia"/>
          <w:sz w:val="28"/>
          <w:szCs w:val="28"/>
        </w:rPr>
        <w:t>年全球经济处于景气的下半场，美欧日接棒中国继续支撑世界经济景气高位，但中国经济周期性行业回落、全球货币政策朝着收紧的方向调整，未来经济增长动能的</w:t>
      </w:r>
      <w:r>
        <w:rPr>
          <w:rFonts w:hint="eastAsia"/>
          <w:sz w:val="28"/>
          <w:szCs w:val="28"/>
        </w:rPr>
        <w:lastRenderedPageBreak/>
        <w:t>向下调整不可避免。同时需要密切关注全球金融市场调整的风险。其实还可加上一句话，也需要关注中国金融市场调整的风险。</w:t>
      </w:r>
    </w:p>
    <w:p w:rsidR="00AE60BB" w:rsidRDefault="00AE60BB" w:rsidP="00AE60BB">
      <w:pPr>
        <w:ind w:firstLine="540"/>
        <w:rPr>
          <w:sz w:val="28"/>
          <w:szCs w:val="28"/>
        </w:rPr>
      </w:pPr>
      <w:r>
        <w:rPr>
          <w:rFonts w:hint="eastAsia"/>
          <w:sz w:val="28"/>
          <w:szCs w:val="28"/>
        </w:rPr>
        <w:t>据此，我们对中国</w:t>
      </w:r>
      <w:r>
        <w:rPr>
          <w:rFonts w:hint="eastAsia"/>
          <w:sz w:val="28"/>
          <w:szCs w:val="28"/>
        </w:rPr>
        <w:t>2018</w:t>
      </w:r>
      <w:r>
        <w:rPr>
          <w:rFonts w:hint="eastAsia"/>
          <w:sz w:val="28"/>
          <w:szCs w:val="28"/>
        </w:rPr>
        <w:t>年第</w:t>
      </w:r>
      <w:r>
        <w:rPr>
          <w:rFonts w:hint="eastAsia"/>
          <w:sz w:val="28"/>
          <w:szCs w:val="28"/>
        </w:rPr>
        <w:t>1</w:t>
      </w:r>
      <w:r>
        <w:rPr>
          <w:rFonts w:hint="eastAsia"/>
          <w:sz w:val="28"/>
          <w:szCs w:val="28"/>
        </w:rPr>
        <w:t>季度和全年的经济增长预测如下</w:t>
      </w:r>
      <w:r>
        <w:rPr>
          <w:rFonts w:hint="eastAsia"/>
          <w:sz w:val="28"/>
          <w:szCs w:val="28"/>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620"/>
        <w:gridCol w:w="1440"/>
      </w:tblGrid>
      <w:tr w:rsidR="00AE60BB" w:rsidRPr="00DB2B17" w:rsidTr="00042F82">
        <w:trPr>
          <w:cantSplit/>
          <w:trHeight w:val="463"/>
        </w:trPr>
        <w:tc>
          <w:tcPr>
            <w:tcW w:w="1980" w:type="dxa"/>
            <w:vMerge w:val="restart"/>
            <w:tcBorders>
              <w:tl2br w:val="single" w:sz="4" w:space="0" w:color="auto"/>
            </w:tcBorders>
          </w:tcPr>
          <w:p w:rsidR="00AE60BB" w:rsidRPr="00DB2B17" w:rsidRDefault="00AE60BB" w:rsidP="00042F82">
            <w:pPr>
              <w:spacing w:line="360" w:lineRule="auto"/>
              <w:rPr>
                <w:rFonts w:ascii="宋体" w:hAnsi="宋体"/>
                <w:sz w:val="28"/>
                <w:szCs w:val="28"/>
              </w:rPr>
            </w:pPr>
            <w:r w:rsidRPr="00DB2B17">
              <w:rPr>
                <w:rFonts w:ascii="宋体" w:hAnsi="宋体" w:hint="eastAsia"/>
                <w:sz w:val="28"/>
                <w:szCs w:val="28"/>
              </w:rPr>
              <w:t xml:space="preserve">      季度</w:t>
            </w:r>
          </w:p>
          <w:p w:rsidR="00AE60BB" w:rsidRPr="00DB2B17" w:rsidRDefault="00AE60BB" w:rsidP="00042F82">
            <w:pPr>
              <w:spacing w:line="360" w:lineRule="auto"/>
              <w:rPr>
                <w:rFonts w:ascii="宋体" w:hAnsi="宋体"/>
                <w:sz w:val="28"/>
                <w:szCs w:val="28"/>
              </w:rPr>
            </w:pPr>
          </w:p>
          <w:p w:rsidR="00AE60BB" w:rsidRPr="00DB2B17" w:rsidRDefault="00AE60BB" w:rsidP="00042F82">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w:t>
            </w:r>
            <w:r>
              <w:rPr>
                <w:rFonts w:ascii="宋体" w:hAnsi="宋体" w:hint="eastAsia"/>
                <w:sz w:val="28"/>
                <w:szCs w:val="28"/>
              </w:rPr>
              <w:t>第4季</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w:t>
            </w:r>
            <w:r>
              <w:rPr>
                <w:rFonts w:ascii="宋体" w:hAnsi="宋体" w:hint="eastAsia"/>
                <w:sz w:val="28"/>
                <w:szCs w:val="28"/>
              </w:rPr>
              <w:t>4</w:t>
            </w:r>
            <w:r w:rsidRPr="00DB2B17">
              <w:rPr>
                <w:rFonts w:ascii="宋体" w:hAnsi="宋体" w:hint="eastAsia"/>
                <w:sz w:val="28"/>
                <w:szCs w:val="28"/>
              </w:rPr>
              <w:t>季度（预测）</w:t>
            </w:r>
          </w:p>
        </w:tc>
        <w:tc>
          <w:tcPr>
            <w:tcW w:w="144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年全年（预测）</w:t>
            </w:r>
          </w:p>
        </w:tc>
      </w:tr>
      <w:tr w:rsidR="00AE60BB" w:rsidRPr="00DB2B17" w:rsidTr="00042F82">
        <w:trPr>
          <w:cantSplit/>
          <w:trHeight w:val="285"/>
        </w:trPr>
        <w:tc>
          <w:tcPr>
            <w:tcW w:w="1980" w:type="dxa"/>
            <w:vMerge/>
          </w:tcPr>
          <w:p w:rsidR="00AE60BB" w:rsidRPr="00DB2B17" w:rsidRDefault="00AE60BB" w:rsidP="00042F82">
            <w:pPr>
              <w:spacing w:line="360" w:lineRule="auto"/>
              <w:rPr>
                <w:rFonts w:ascii="宋体" w:hAnsi="宋体"/>
                <w:sz w:val="28"/>
                <w:szCs w:val="28"/>
              </w:rPr>
            </w:pPr>
          </w:p>
        </w:tc>
        <w:tc>
          <w:tcPr>
            <w:tcW w:w="144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增长（%）</w:t>
            </w:r>
          </w:p>
        </w:tc>
      </w:tr>
      <w:tr w:rsidR="00AE60BB" w:rsidRPr="00DB2B17" w:rsidTr="00042F82">
        <w:trPr>
          <w:cantSplit/>
          <w:trHeight w:val="493"/>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9</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6</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5</w:t>
            </w:r>
          </w:p>
        </w:tc>
      </w:tr>
      <w:tr w:rsidR="00AE60BB" w:rsidRPr="00DB2B17" w:rsidTr="00042F82">
        <w:trPr>
          <w:cantSplit/>
          <w:trHeight w:val="457"/>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工业增加值</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6</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5</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3</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6.4</w:t>
            </w:r>
          </w:p>
        </w:tc>
      </w:tr>
      <w:tr w:rsidR="00AE60BB" w:rsidRPr="00DB2B17" w:rsidTr="00042F82">
        <w:trPr>
          <w:cantSplit/>
          <w:trHeight w:val="462"/>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7</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7</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7</w:t>
            </w:r>
            <w:r w:rsidRPr="00DB2B17">
              <w:rPr>
                <w:rFonts w:ascii="宋体" w:hAnsi="宋体" w:hint="eastAsia"/>
                <w:color w:val="000000"/>
                <w:sz w:val="28"/>
                <w:szCs w:val="28"/>
              </w:rPr>
              <w:t>.</w:t>
            </w:r>
            <w:r>
              <w:rPr>
                <w:rFonts w:ascii="宋体" w:hAnsi="宋体" w:hint="eastAsia"/>
                <w:color w:val="000000"/>
                <w:sz w:val="28"/>
                <w:szCs w:val="28"/>
              </w:rPr>
              <w:t>0</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8</w:t>
            </w:r>
          </w:p>
        </w:tc>
      </w:tr>
      <w:tr w:rsidR="00AE60BB" w:rsidRPr="00DB2B17" w:rsidTr="00042F82">
        <w:trPr>
          <w:cantSplit/>
          <w:trHeight w:val="457"/>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AE60BB" w:rsidRPr="00DB2B17" w:rsidRDefault="00AE60BB" w:rsidP="00042F82">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AE60BB" w:rsidRPr="00DB2B17" w:rsidRDefault="00AE60BB" w:rsidP="00042F82">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10.2</w:t>
            </w:r>
          </w:p>
        </w:tc>
        <w:tc>
          <w:tcPr>
            <w:tcW w:w="1440" w:type="dxa"/>
          </w:tcPr>
          <w:p w:rsidR="00AE60BB" w:rsidRPr="00DB2B17" w:rsidRDefault="00AE60BB" w:rsidP="00042F82">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3</w:t>
            </w:r>
          </w:p>
        </w:tc>
      </w:tr>
      <w:tr w:rsidR="00AE60BB" w:rsidRPr="00DB2B17" w:rsidTr="00042F82">
        <w:trPr>
          <w:cantSplit/>
          <w:trHeight w:val="453"/>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10.8</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10.5</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11.5</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11</w:t>
            </w:r>
            <w:r w:rsidRPr="00DB2B17">
              <w:rPr>
                <w:rFonts w:ascii="宋体" w:hAnsi="宋体" w:hint="eastAsia"/>
                <w:color w:val="000000"/>
                <w:sz w:val="28"/>
                <w:szCs w:val="28"/>
              </w:rPr>
              <w:t>.</w:t>
            </w:r>
            <w:r>
              <w:rPr>
                <w:rFonts w:ascii="宋体" w:hAnsi="宋体" w:hint="eastAsia"/>
                <w:color w:val="000000"/>
                <w:sz w:val="28"/>
                <w:szCs w:val="28"/>
              </w:rPr>
              <w:t>0</w:t>
            </w:r>
          </w:p>
        </w:tc>
      </w:tr>
      <w:tr w:rsidR="00AE60BB" w:rsidRPr="00DB2B17" w:rsidTr="00042F82">
        <w:trPr>
          <w:cantSplit/>
          <w:trHeight w:val="459"/>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18.7</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16.8</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20.0</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18.0</w:t>
            </w:r>
          </w:p>
        </w:tc>
      </w:tr>
      <w:tr w:rsidR="00AE60BB" w:rsidRPr="00DB2B17" w:rsidTr="00042F82">
        <w:trPr>
          <w:cantSplit/>
          <w:trHeight w:val="456"/>
        </w:trPr>
        <w:tc>
          <w:tcPr>
            <w:tcW w:w="1980" w:type="dxa"/>
          </w:tcPr>
          <w:p w:rsidR="00AE60BB" w:rsidRPr="00DB2B17" w:rsidRDefault="00AE60BB" w:rsidP="00042F82">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1.6</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1.7</w:t>
            </w:r>
          </w:p>
        </w:tc>
        <w:tc>
          <w:tcPr>
            <w:tcW w:w="162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1.8</w:t>
            </w:r>
          </w:p>
        </w:tc>
        <w:tc>
          <w:tcPr>
            <w:tcW w:w="1440" w:type="dxa"/>
          </w:tcPr>
          <w:p w:rsidR="00AE60BB" w:rsidRPr="00DB2B17" w:rsidRDefault="00AE60BB" w:rsidP="00042F82">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r>
    </w:tbl>
    <w:p w:rsidR="00AE60BB" w:rsidRPr="00FB7D4C" w:rsidRDefault="00AE60BB" w:rsidP="00AE60BB">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AE60BB" w:rsidRPr="00FB7D4C" w:rsidRDefault="00AE60BB" w:rsidP="00AE60BB">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AE60BB" w:rsidRDefault="00AE60BB" w:rsidP="00AE60BB">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AE60BB" w:rsidRDefault="00AE60BB" w:rsidP="00AE60BB">
      <w:pPr>
        <w:spacing w:line="360" w:lineRule="auto"/>
        <w:ind w:firstLineChars="400" w:firstLine="960"/>
        <w:rPr>
          <w:rFonts w:ascii="宋体" w:hAnsi="宋体"/>
          <w:sz w:val="24"/>
        </w:rPr>
      </w:pPr>
      <w:r>
        <w:rPr>
          <w:rFonts w:ascii="宋体" w:hAnsi="宋体" w:hint="eastAsia"/>
          <w:sz w:val="24"/>
        </w:rPr>
        <w:t>4.2017年4季度除GDP外，其他数据因未公布，均根据实际情况估计</w:t>
      </w:r>
    </w:p>
    <w:p w:rsidR="00AE60BB" w:rsidRPr="00FD4BAB" w:rsidRDefault="00AE60BB" w:rsidP="00AE60BB">
      <w:pPr>
        <w:spacing w:line="360" w:lineRule="auto"/>
        <w:ind w:firstLineChars="400" w:firstLine="960"/>
        <w:rPr>
          <w:rFonts w:ascii="宋体" w:hAnsi="宋体"/>
          <w:sz w:val="24"/>
        </w:rPr>
      </w:pPr>
    </w:p>
    <w:p w:rsidR="00AE60BB" w:rsidRPr="00A138E7" w:rsidRDefault="00AE60BB" w:rsidP="00AE60BB">
      <w:pPr>
        <w:ind w:firstLine="570"/>
        <w:rPr>
          <w:sz w:val="28"/>
          <w:szCs w:val="28"/>
        </w:rPr>
      </w:pPr>
      <w:r w:rsidRPr="00A138E7">
        <w:rPr>
          <w:rFonts w:hint="eastAsia"/>
          <w:sz w:val="28"/>
          <w:szCs w:val="28"/>
        </w:rPr>
        <w:t xml:space="preserve">　　　　　　　　　　　张曙光（</w:t>
      </w:r>
      <w:r>
        <w:rPr>
          <w:rFonts w:hint="eastAsia"/>
          <w:sz w:val="28"/>
          <w:szCs w:val="28"/>
        </w:rPr>
        <w:t>中国社会科学院</w:t>
      </w:r>
      <w:r w:rsidRPr="00A138E7">
        <w:rPr>
          <w:rFonts w:hint="eastAsia"/>
          <w:sz w:val="28"/>
          <w:szCs w:val="28"/>
        </w:rPr>
        <w:t>经济所）</w:t>
      </w:r>
    </w:p>
    <w:p w:rsidR="00AE60BB" w:rsidRPr="00A138E7" w:rsidRDefault="00AE60BB" w:rsidP="00AE60BB">
      <w:pPr>
        <w:ind w:firstLine="570"/>
        <w:rPr>
          <w:sz w:val="28"/>
          <w:szCs w:val="28"/>
        </w:rPr>
      </w:pPr>
      <w:r w:rsidRPr="00A138E7">
        <w:rPr>
          <w:rFonts w:hint="eastAsia"/>
          <w:sz w:val="28"/>
          <w:szCs w:val="28"/>
        </w:rPr>
        <w:t xml:space="preserve">　　　　　　　　　　　张　</w:t>
      </w:r>
      <w:proofErr w:type="gramStart"/>
      <w:r w:rsidRPr="00A138E7">
        <w:rPr>
          <w:rFonts w:hint="eastAsia"/>
          <w:sz w:val="28"/>
          <w:szCs w:val="28"/>
        </w:rPr>
        <w:t>弛</w:t>
      </w:r>
      <w:proofErr w:type="gramEnd"/>
      <w:r w:rsidRPr="00A138E7">
        <w:rPr>
          <w:rFonts w:hint="eastAsia"/>
          <w:sz w:val="28"/>
          <w:szCs w:val="28"/>
        </w:rPr>
        <w:t>（中国政法大学商学院）</w:t>
      </w:r>
    </w:p>
    <w:p w:rsidR="00AE60BB" w:rsidRPr="00DE3FB5" w:rsidRDefault="00AE60BB" w:rsidP="00AE60BB">
      <w:pPr>
        <w:ind w:firstLineChars="1650" w:firstLine="4620"/>
        <w:rPr>
          <w:sz w:val="28"/>
          <w:szCs w:val="28"/>
        </w:rPr>
      </w:pPr>
      <w:r>
        <w:rPr>
          <w:rFonts w:hint="eastAsia"/>
          <w:sz w:val="28"/>
          <w:szCs w:val="28"/>
        </w:rPr>
        <w:t>2018</w:t>
      </w:r>
      <w:r>
        <w:rPr>
          <w:rFonts w:hint="eastAsia"/>
          <w:sz w:val="28"/>
          <w:szCs w:val="28"/>
        </w:rPr>
        <w:t>－</w:t>
      </w:r>
      <w:r>
        <w:rPr>
          <w:rFonts w:hint="eastAsia"/>
          <w:sz w:val="28"/>
          <w:szCs w:val="28"/>
        </w:rPr>
        <w:t>01</w:t>
      </w:r>
      <w:r>
        <w:rPr>
          <w:rFonts w:hint="eastAsia"/>
          <w:sz w:val="28"/>
          <w:szCs w:val="28"/>
        </w:rPr>
        <w:t>－</w:t>
      </w:r>
      <w:r>
        <w:rPr>
          <w:rFonts w:hint="eastAsia"/>
          <w:sz w:val="28"/>
          <w:szCs w:val="28"/>
        </w:rPr>
        <w:t>28</w:t>
      </w:r>
      <w:r>
        <w:rPr>
          <w:rFonts w:hint="eastAsia"/>
          <w:sz w:val="28"/>
          <w:szCs w:val="28"/>
        </w:rPr>
        <w:t>，于北京</w:t>
      </w:r>
    </w:p>
    <w:p w:rsidR="00AE60BB" w:rsidRDefault="00AE60BB"/>
    <w:sectPr w:rsidR="00AE60BB" w:rsidSect="007B466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BD" w:rsidRDefault="00F53CBD">
      <w:r>
        <w:separator/>
      </w:r>
    </w:p>
  </w:endnote>
  <w:endnote w:type="continuationSeparator" w:id="0">
    <w:p w:rsidR="00F53CBD" w:rsidRDefault="00F5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aHe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608"/>
      <w:docPartObj>
        <w:docPartGallery w:val="Page Numbers (Bottom of Page)"/>
        <w:docPartUnique/>
      </w:docPartObj>
    </w:sdtPr>
    <w:sdtEndPr/>
    <w:sdtContent>
      <w:p w:rsidR="00C43D11" w:rsidRDefault="00DF1A59">
        <w:pPr>
          <w:pStyle w:val="a3"/>
        </w:pPr>
        <w:r>
          <w:fldChar w:fldCharType="begin"/>
        </w:r>
        <w:r>
          <w:instrText xml:space="preserve"> PAGE   \* MERGEFORMAT </w:instrText>
        </w:r>
        <w:r>
          <w:fldChar w:fldCharType="separate"/>
        </w:r>
        <w:r w:rsidR="00D824E0" w:rsidRPr="00D824E0">
          <w:rPr>
            <w:noProof/>
            <w:lang w:val="zh-CN"/>
          </w:rPr>
          <w:t>1</w:t>
        </w:r>
        <w:r>
          <w:rPr>
            <w:noProof/>
            <w:lang w:val="zh-CN"/>
          </w:rPr>
          <w:fldChar w:fldCharType="end"/>
        </w:r>
      </w:p>
    </w:sdtContent>
  </w:sdt>
  <w:p w:rsidR="00C43D11" w:rsidRDefault="00F53C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BD" w:rsidRDefault="00F53CBD">
      <w:r>
        <w:separator/>
      </w:r>
    </w:p>
  </w:footnote>
  <w:footnote w:type="continuationSeparator" w:id="0">
    <w:p w:rsidR="00F53CBD" w:rsidRDefault="00F5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5CB3"/>
    <w:multiLevelType w:val="hybridMultilevel"/>
    <w:tmpl w:val="4AF4F484"/>
    <w:lvl w:ilvl="0" w:tplc="61127F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602E57"/>
    <w:multiLevelType w:val="hybridMultilevel"/>
    <w:tmpl w:val="B19AD53A"/>
    <w:lvl w:ilvl="0" w:tplc="4514955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8D21A62"/>
    <w:multiLevelType w:val="hybridMultilevel"/>
    <w:tmpl w:val="1CD8F260"/>
    <w:lvl w:ilvl="0" w:tplc="2850DE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C7113C"/>
    <w:multiLevelType w:val="hybridMultilevel"/>
    <w:tmpl w:val="AF54BF82"/>
    <w:lvl w:ilvl="0" w:tplc="50B0CB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D0199A"/>
    <w:multiLevelType w:val="hybridMultilevel"/>
    <w:tmpl w:val="632C0D86"/>
    <w:lvl w:ilvl="0" w:tplc="B6E642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28"/>
    <w:rsid w:val="0024085D"/>
    <w:rsid w:val="00303564"/>
    <w:rsid w:val="00563328"/>
    <w:rsid w:val="00AE60BB"/>
    <w:rsid w:val="00D824E0"/>
    <w:rsid w:val="00DF1A59"/>
    <w:rsid w:val="00E07BCE"/>
    <w:rsid w:val="00F5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1A59"/>
    <w:pPr>
      <w:tabs>
        <w:tab w:val="center" w:pos="4153"/>
        <w:tab w:val="right" w:pos="8306"/>
      </w:tabs>
      <w:snapToGrid w:val="0"/>
      <w:jc w:val="left"/>
    </w:pPr>
    <w:rPr>
      <w:sz w:val="18"/>
      <w:szCs w:val="18"/>
    </w:rPr>
  </w:style>
  <w:style w:type="character" w:customStyle="1" w:styleId="Char">
    <w:name w:val="页脚 Char"/>
    <w:basedOn w:val="a0"/>
    <w:link w:val="a3"/>
    <w:uiPriority w:val="99"/>
    <w:rsid w:val="00DF1A59"/>
    <w:rPr>
      <w:sz w:val="18"/>
      <w:szCs w:val="18"/>
    </w:rPr>
  </w:style>
  <w:style w:type="paragraph" w:styleId="a4">
    <w:name w:val="List Paragraph"/>
    <w:basedOn w:val="a"/>
    <w:uiPriority w:val="34"/>
    <w:qFormat/>
    <w:rsid w:val="00DF1A59"/>
    <w:pPr>
      <w:ind w:firstLineChars="200" w:firstLine="420"/>
    </w:pPr>
  </w:style>
  <w:style w:type="paragraph" w:customStyle="1" w:styleId="1">
    <w:name w:val="列出段落1"/>
    <w:basedOn w:val="a"/>
    <w:rsid w:val="00DF1A59"/>
    <w:pPr>
      <w:ind w:firstLineChars="200" w:firstLine="420"/>
    </w:pPr>
    <w:rPr>
      <w:rFonts w:ascii="Times New Roman" w:eastAsia="宋体" w:hAnsi="Times New Roman" w:cs="Times New Roman"/>
      <w:szCs w:val="24"/>
    </w:rPr>
  </w:style>
  <w:style w:type="paragraph" w:customStyle="1" w:styleId="2">
    <w:name w:val="列出段落2"/>
    <w:basedOn w:val="a"/>
    <w:rsid w:val="00DF1A59"/>
    <w:pPr>
      <w:ind w:firstLineChars="200" w:firstLine="420"/>
    </w:pPr>
    <w:rPr>
      <w:rFonts w:ascii="Times New Roman" w:eastAsia="宋体" w:hAnsi="Times New Roman" w:cs="Times New Roman"/>
      <w:szCs w:val="24"/>
    </w:rPr>
  </w:style>
  <w:style w:type="paragraph" w:styleId="a5">
    <w:name w:val="Balloon Text"/>
    <w:basedOn w:val="a"/>
    <w:link w:val="Char0"/>
    <w:uiPriority w:val="99"/>
    <w:semiHidden/>
    <w:unhideWhenUsed/>
    <w:rsid w:val="00DF1A59"/>
    <w:rPr>
      <w:sz w:val="18"/>
      <w:szCs w:val="18"/>
    </w:rPr>
  </w:style>
  <w:style w:type="character" w:customStyle="1" w:styleId="Char0">
    <w:name w:val="批注框文本 Char"/>
    <w:basedOn w:val="a0"/>
    <w:link w:val="a5"/>
    <w:uiPriority w:val="99"/>
    <w:semiHidden/>
    <w:rsid w:val="00DF1A59"/>
    <w:rPr>
      <w:sz w:val="18"/>
      <w:szCs w:val="18"/>
    </w:rPr>
  </w:style>
  <w:style w:type="paragraph" w:styleId="a6">
    <w:name w:val="Normal (Web)"/>
    <w:basedOn w:val="a"/>
    <w:uiPriority w:val="99"/>
    <w:unhideWhenUsed/>
    <w:rsid w:val="00DF1A59"/>
    <w:pPr>
      <w:widowControl/>
      <w:spacing w:before="100" w:beforeAutospacing="1" w:after="100" w:afterAutospacing="1"/>
      <w:jc w:val="left"/>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1A59"/>
    <w:pPr>
      <w:tabs>
        <w:tab w:val="center" w:pos="4153"/>
        <w:tab w:val="right" w:pos="8306"/>
      </w:tabs>
      <w:snapToGrid w:val="0"/>
      <w:jc w:val="left"/>
    </w:pPr>
    <w:rPr>
      <w:sz w:val="18"/>
      <w:szCs w:val="18"/>
    </w:rPr>
  </w:style>
  <w:style w:type="character" w:customStyle="1" w:styleId="Char">
    <w:name w:val="页脚 Char"/>
    <w:basedOn w:val="a0"/>
    <w:link w:val="a3"/>
    <w:uiPriority w:val="99"/>
    <w:rsid w:val="00DF1A59"/>
    <w:rPr>
      <w:sz w:val="18"/>
      <w:szCs w:val="18"/>
    </w:rPr>
  </w:style>
  <w:style w:type="paragraph" w:styleId="a4">
    <w:name w:val="List Paragraph"/>
    <w:basedOn w:val="a"/>
    <w:uiPriority w:val="34"/>
    <w:qFormat/>
    <w:rsid w:val="00DF1A59"/>
    <w:pPr>
      <w:ind w:firstLineChars="200" w:firstLine="420"/>
    </w:pPr>
  </w:style>
  <w:style w:type="paragraph" w:customStyle="1" w:styleId="1">
    <w:name w:val="列出段落1"/>
    <w:basedOn w:val="a"/>
    <w:rsid w:val="00DF1A59"/>
    <w:pPr>
      <w:ind w:firstLineChars="200" w:firstLine="420"/>
    </w:pPr>
    <w:rPr>
      <w:rFonts w:ascii="Times New Roman" w:eastAsia="宋体" w:hAnsi="Times New Roman" w:cs="Times New Roman"/>
      <w:szCs w:val="24"/>
    </w:rPr>
  </w:style>
  <w:style w:type="paragraph" w:customStyle="1" w:styleId="2">
    <w:name w:val="列出段落2"/>
    <w:basedOn w:val="a"/>
    <w:rsid w:val="00DF1A59"/>
    <w:pPr>
      <w:ind w:firstLineChars="200" w:firstLine="420"/>
    </w:pPr>
    <w:rPr>
      <w:rFonts w:ascii="Times New Roman" w:eastAsia="宋体" w:hAnsi="Times New Roman" w:cs="Times New Roman"/>
      <w:szCs w:val="24"/>
    </w:rPr>
  </w:style>
  <w:style w:type="paragraph" w:styleId="a5">
    <w:name w:val="Balloon Text"/>
    <w:basedOn w:val="a"/>
    <w:link w:val="Char0"/>
    <w:uiPriority w:val="99"/>
    <w:semiHidden/>
    <w:unhideWhenUsed/>
    <w:rsid w:val="00DF1A59"/>
    <w:rPr>
      <w:sz w:val="18"/>
      <w:szCs w:val="18"/>
    </w:rPr>
  </w:style>
  <w:style w:type="character" w:customStyle="1" w:styleId="Char0">
    <w:name w:val="批注框文本 Char"/>
    <w:basedOn w:val="a0"/>
    <w:link w:val="a5"/>
    <w:uiPriority w:val="99"/>
    <w:semiHidden/>
    <w:rsid w:val="00DF1A59"/>
    <w:rPr>
      <w:sz w:val="18"/>
      <w:szCs w:val="18"/>
    </w:rPr>
  </w:style>
  <w:style w:type="paragraph" w:styleId="a6">
    <w:name w:val="Normal (Web)"/>
    <w:basedOn w:val="a"/>
    <w:uiPriority w:val="99"/>
    <w:unhideWhenUsed/>
    <w:rsid w:val="00DF1A59"/>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zhangchi\&#23439;&#35266;&#23395;&#24230;&#25253;&#21578;\&#23395;&#24230;&#65306;GDP&#21644;&#24037;&#19994;&#22686;&#21152;&#20540;&#65288;2003q1&#22987;&#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zhangchi\&#23439;&#35266;&#23395;&#24230;&#25253;&#21578;\&#23395;&#24230;&#65306;&#20215;&#26684;&#25351;&#259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zhangchi\&#23439;&#35266;&#23395;&#24230;&#25253;&#21578;\&#23395;&#24230;&#65306;&#22266;&#23450;&#36164;&#20135;&#25237;&#36164;&#21644;&#28040;&#36153;&#21697;&#38646;&#21806;&#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zhangchi\&#23439;&#35266;&#23395;&#24230;&#25253;&#21578;\&#23395;&#24230;&#65306;&#36827;&#20986;&#21475;&#19982;&#36152;&#26131;&#39034;&#2404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GDP及规模以上工业增加值单季同比增长率（%）</a:t>
            </a:r>
          </a:p>
        </c:rich>
      </c:tx>
      <c:layout>
        <c:manualLayout>
          <c:xMode val="edge"/>
          <c:yMode val="edge"/>
          <c:x val="0.14876048081538557"/>
          <c:y val="3.7931034482758773E-2"/>
        </c:manualLayout>
      </c:layout>
      <c:overlay val="0"/>
      <c:spPr>
        <a:noFill/>
        <a:ln w="25400">
          <a:noFill/>
        </a:ln>
      </c:spPr>
    </c:title>
    <c:autoTitleDeleted val="0"/>
    <c:plotArea>
      <c:layout>
        <c:manualLayout>
          <c:layoutTarget val="inner"/>
          <c:xMode val="edge"/>
          <c:yMode val="edge"/>
          <c:x val="9.2975300409289266E-2"/>
          <c:y val="0.20689655172413793"/>
          <c:w val="0.85537276376545857"/>
          <c:h val="0.44482758620689755"/>
        </c:manualLayout>
      </c:layout>
      <c:lineChart>
        <c:grouping val="standard"/>
        <c:varyColors val="0"/>
        <c:ser>
          <c:idx val="0"/>
          <c:order val="0"/>
          <c:tx>
            <c:v>GDP</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Sheet1!$A$29:$A$64</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Sheet1!$B$29:$B$64</c:f>
              <c:numCache>
                <c:formatCode>General</c:formatCode>
                <c:ptCount val="36"/>
                <c:pt idx="0">
                  <c:v>6.1</c:v>
                </c:pt>
                <c:pt idx="1">
                  <c:v>7.9</c:v>
                </c:pt>
                <c:pt idx="2">
                  <c:v>8.9</c:v>
                </c:pt>
                <c:pt idx="3">
                  <c:v>10.7</c:v>
                </c:pt>
                <c:pt idx="4">
                  <c:v>11.9</c:v>
                </c:pt>
                <c:pt idx="5">
                  <c:v>10.3</c:v>
                </c:pt>
                <c:pt idx="6">
                  <c:v>9.6</c:v>
                </c:pt>
                <c:pt idx="7">
                  <c:v>9.8000000000000007</c:v>
                </c:pt>
                <c:pt idx="8">
                  <c:v>9.7000000000000011</c:v>
                </c:pt>
                <c:pt idx="9">
                  <c:v>9.5</c:v>
                </c:pt>
                <c:pt idx="10">
                  <c:v>9.1</c:v>
                </c:pt>
                <c:pt idx="11">
                  <c:v>8.9</c:v>
                </c:pt>
                <c:pt idx="12">
                  <c:v>8.1</c:v>
                </c:pt>
                <c:pt idx="13">
                  <c:v>7.6</c:v>
                </c:pt>
                <c:pt idx="14">
                  <c:v>7.4</c:v>
                </c:pt>
                <c:pt idx="15">
                  <c:v>7.9</c:v>
                </c:pt>
                <c:pt idx="16">
                  <c:v>7.7</c:v>
                </c:pt>
                <c:pt idx="17">
                  <c:v>7.5</c:v>
                </c:pt>
                <c:pt idx="18">
                  <c:v>7.8</c:v>
                </c:pt>
                <c:pt idx="19">
                  <c:v>7.7</c:v>
                </c:pt>
                <c:pt idx="20">
                  <c:v>7.4</c:v>
                </c:pt>
                <c:pt idx="21">
                  <c:v>7.5</c:v>
                </c:pt>
                <c:pt idx="22">
                  <c:v>7.3</c:v>
                </c:pt>
                <c:pt idx="23">
                  <c:v>7.3</c:v>
                </c:pt>
                <c:pt idx="24">
                  <c:v>7</c:v>
                </c:pt>
                <c:pt idx="25">
                  <c:v>7</c:v>
                </c:pt>
                <c:pt idx="26">
                  <c:v>6.9</c:v>
                </c:pt>
                <c:pt idx="27">
                  <c:v>6.8</c:v>
                </c:pt>
                <c:pt idx="28">
                  <c:v>6.7</c:v>
                </c:pt>
                <c:pt idx="29">
                  <c:v>6.7</c:v>
                </c:pt>
                <c:pt idx="30">
                  <c:v>6.7</c:v>
                </c:pt>
                <c:pt idx="31">
                  <c:v>6.8</c:v>
                </c:pt>
                <c:pt idx="32">
                  <c:v>6.9</c:v>
                </c:pt>
                <c:pt idx="33">
                  <c:v>6.9</c:v>
                </c:pt>
                <c:pt idx="34">
                  <c:v>6.8</c:v>
                </c:pt>
                <c:pt idx="35">
                  <c:v>6.8</c:v>
                </c:pt>
              </c:numCache>
            </c:numRef>
          </c:val>
          <c:smooth val="0"/>
          <c:extLst xmlns:c16r2="http://schemas.microsoft.com/office/drawing/2015/06/chart">
            <c:ext xmlns:c16="http://schemas.microsoft.com/office/drawing/2014/chart" uri="{C3380CC4-5D6E-409C-BE32-E72D297353CC}">
              <c16:uniqueId val="{00000000-AB9C-4861-9F67-0D6D1A12FEBE}"/>
            </c:ext>
          </c:extLst>
        </c:ser>
        <c:ser>
          <c:idx val="1"/>
          <c:order val="1"/>
          <c:tx>
            <c:v>工业增加值</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Sheet1!$A$29:$A$64</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Sheet1!$C$29:$C$64</c:f>
              <c:numCache>
                <c:formatCode>General</c:formatCode>
                <c:ptCount val="36"/>
                <c:pt idx="0">
                  <c:v>5.0999999999999996</c:v>
                </c:pt>
                <c:pt idx="1">
                  <c:v>9.1</c:v>
                </c:pt>
                <c:pt idx="2">
                  <c:v>12.4</c:v>
                </c:pt>
                <c:pt idx="3">
                  <c:v>18</c:v>
                </c:pt>
                <c:pt idx="4">
                  <c:v>19.600000000000001</c:v>
                </c:pt>
                <c:pt idx="5">
                  <c:v>15.6</c:v>
                </c:pt>
                <c:pt idx="6">
                  <c:v>13.5</c:v>
                </c:pt>
                <c:pt idx="7">
                  <c:v>13.3</c:v>
                </c:pt>
                <c:pt idx="8">
                  <c:v>14.4</c:v>
                </c:pt>
                <c:pt idx="9">
                  <c:v>14.2</c:v>
                </c:pt>
                <c:pt idx="10">
                  <c:v>14</c:v>
                </c:pt>
                <c:pt idx="11">
                  <c:v>13</c:v>
                </c:pt>
                <c:pt idx="12">
                  <c:v>11.6</c:v>
                </c:pt>
                <c:pt idx="13">
                  <c:v>9.4</c:v>
                </c:pt>
                <c:pt idx="14">
                  <c:v>9</c:v>
                </c:pt>
                <c:pt idx="15">
                  <c:v>10</c:v>
                </c:pt>
                <c:pt idx="16">
                  <c:v>9.5</c:v>
                </c:pt>
                <c:pt idx="17">
                  <c:v>9.1</c:v>
                </c:pt>
                <c:pt idx="18">
                  <c:v>10.200000000000001</c:v>
                </c:pt>
                <c:pt idx="19">
                  <c:v>10</c:v>
                </c:pt>
                <c:pt idx="20">
                  <c:v>8.7000000000000011</c:v>
                </c:pt>
                <c:pt idx="21">
                  <c:v>8.9</c:v>
                </c:pt>
                <c:pt idx="22">
                  <c:v>7.9</c:v>
                </c:pt>
                <c:pt idx="23">
                  <c:v>7.7</c:v>
                </c:pt>
                <c:pt idx="24">
                  <c:v>6.4</c:v>
                </c:pt>
                <c:pt idx="25">
                  <c:v>6.2</c:v>
                </c:pt>
                <c:pt idx="26">
                  <c:v>6.2</c:v>
                </c:pt>
                <c:pt idx="27">
                  <c:v>5.8</c:v>
                </c:pt>
                <c:pt idx="28">
                  <c:v>5.8</c:v>
                </c:pt>
                <c:pt idx="29">
                  <c:v>6.2</c:v>
                </c:pt>
                <c:pt idx="30">
                  <c:v>6</c:v>
                </c:pt>
                <c:pt idx="31">
                  <c:v>6</c:v>
                </c:pt>
                <c:pt idx="32">
                  <c:v>6.8</c:v>
                </c:pt>
                <c:pt idx="33">
                  <c:v>7</c:v>
                </c:pt>
                <c:pt idx="34">
                  <c:v>6.3</c:v>
                </c:pt>
                <c:pt idx="35">
                  <c:v>6.3</c:v>
                </c:pt>
              </c:numCache>
            </c:numRef>
          </c:val>
          <c:smooth val="0"/>
          <c:extLst xmlns:c16r2="http://schemas.microsoft.com/office/drawing/2015/06/chart">
            <c:ext xmlns:c16="http://schemas.microsoft.com/office/drawing/2014/chart" uri="{C3380CC4-5D6E-409C-BE32-E72D297353CC}">
              <c16:uniqueId val="{00000001-AB9C-4861-9F67-0D6D1A12FEBE}"/>
            </c:ext>
          </c:extLst>
        </c:ser>
        <c:dLbls>
          <c:showLegendKey val="0"/>
          <c:showVal val="0"/>
          <c:showCatName val="0"/>
          <c:showSerName val="0"/>
          <c:showPercent val="0"/>
          <c:showBubbleSize val="0"/>
        </c:dLbls>
        <c:marker val="1"/>
        <c:smooth val="0"/>
        <c:axId val="316437248"/>
        <c:axId val="316439168"/>
      </c:lineChart>
      <c:catAx>
        <c:axId val="316437248"/>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316439168"/>
        <c:crosses val="autoZero"/>
        <c:auto val="1"/>
        <c:lblAlgn val="ctr"/>
        <c:lblOffset val="100"/>
        <c:tickLblSkip val="1"/>
        <c:tickMarkSkip val="1"/>
        <c:noMultiLvlLbl val="0"/>
      </c:catAx>
      <c:valAx>
        <c:axId val="31643916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16437248"/>
        <c:crosses val="autoZero"/>
        <c:crossBetween val="midCat"/>
      </c:valAx>
    </c:plotArea>
    <c:legend>
      <c:legendPos val="b"/>
      <c:layout>
        <c:manualLayout>
          <c:xMode val="edge"/>
          <c:yMode val="edge"/>
          <c:x val="0.33057895973120277"/>
          <c:y val="0.903448275862067"/>
          <c:w val="0.37809961498003408"/>
          <c:h val="7.5862068965517324E-2"/>
        </c:manualLayout>
      </c:layout>
      <c:overlay val="0"/>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宋体"/>
                <a:ea typeface="宋体"/>
                <a:cs typeface="宋体"/>
              </a:defRPr>
            </a:pPr>
            <a:r>
              <a:rPr lang="zh-CN" altLang="en-US"/>
              <a:t>价格水平单季同比增长率（％）</a:t>
            </a:r>
          </a:p>
        </c:rich>
      </c:tx>
      <c:layout>
        <c:manualLayout>
          <c:xMode val="edge"/>
          <c:yMode val="edge"/>
          <c:x val="0.30988327464092247"/>
          <c:y val="3.7931034482758773E-2"/>
        </c:manualLayout>
      </c:layout>
      <c:overlay val="0"/>
      <c:spPr>
        <a:noFill/>
        <a:ln w="25400">
          <a:noFill/>
        </a:ln>
      </c:spPr>
    </c:title>
    <c:autoTitleDeleted val="0"/>
    <c:plotArea>
      <c:layout>
        <c:manualLayout>
          <c:layoutTarget val="inner"/>
          <c:xMode val="edge"/>
          <c:yMode val="edge"/>
          <c:x val="8.8777364650997267E-2"/>
          <c:y val="0.20689655172413793"/>
          <c:w val="0.85929788803700802"/>
          <c:h val="0.62068965517241625"/>
        </c:manualLayout>
      </c:layout>
      <c:lineChart>
        <c:grouping val="standard"/>
        <c:varyColors val="0"/>
        <c:ser>
          <c:idx val="0"/>
          <c:order val="0"/>
          <c:tx>
            <c:v> CPI</c:v>
          </c:tx>
          <c:spPr>
            <a:ln w="12700">
              <a:solidFill>
                <a:srgbClr val="000080"/>
              </a:solidFill>
              <a:prstDash val="solid"/>
            </a:ln>
          </c:spPr>
          <c:marker>
            <c:symbol val="diamond"/>
            <c:size val="5"/>
            <c:spPr>
              <a:solidFill>
                <a:srgbClr val="000080"/>
              </a:solidFill>
              <a:ln>
                <a:solidFill>
                  <a:srgbClr val="000080"/>
                </a:solidFill>
                <a:prstDash val="solid"/>
              </a:ln>
            </c:spPr>
          </c:marker>
          <c:cat>
            <c:strRef>
              <c:f>价格增长率!$A$27:$A$62</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价格增长率!$B$27:$B$62</c:f>
              <c:numCache>
                <c:formatCode>General</c:formatCode>
                <c:ptCount val="36"/>
                <c:pt idx="0">
                  <c:v>-0.60000000000000064</c:v>
                </c:pt>
                <c:pt idx="1">
                  <c:v>-1.6</c:v>
                </c:pt>
                <c:pt idx="2">
                  <c:v>-1.1000000000000001</c:v>
                </c:pt>
                <c:pt idx="3">
                  <c:v>-0.5</c:v>
                </c:pt>
                <c:pt idx="4">
                  <c:v>2.2000000000000002</c:v>
                </c:pt>
                <c:pt idx="5">
                  <c:v>3</c:v>
                </c:pt>
                <c:pt idx="6">
                  <c:v>3.2</c:v>
                </c:pt>
                <c:pt idx="7">
                  <c:v>4.8</c:v>
                </c:pt>
                <c:pt idx="8">
                  <c:v>5</c:v>
                </c:pt>
                <c:pt idx="9">
                  <c:v>5.8</c:v>
                </c:pt>
                <c:pt idx="10">
                  <c:v>6.3</c:v>
                </c:pt>
                <c:pt idx="11">
                  <c:v>4.5</c:v>
                </c:pt>
                <c:pt idx="12">
                  <c:v>3.8</c:v>
                </c:pt>
                <c:pt idx="13">
                  <c:v>2.8</c:v>
                </c:pt>
                <c:pt idx="14">
                  <c:v>1.8</c:v>
                </c:pt>
                <c:pt idx="15">
                  <c:v>2</c:v>
                </c:pt>
                <c:pt idx="16">
                  <c:v>2.4</c:v>
                </c:pt>
                <c:pt idx="17">
                  <c:v>2.4</c:v>
                </c:pt>
                <c:pt idx="18">
                  <c:v>2.7</c:v>
                </c:pt>
                <c:pt idx="19">
                  <c:v>2.9</c:v>
                </c:pt>
                <c:pt idx="20">
                  <c:v>2.2999999999999998</c:v>
                </c:pt>
                <c:pt idx="21">
                  <c:v>2.2999999999999998</c:v>
                </c:pt>
                <c:pt idx="22">
                  <c:v>1.7</c:v>
                </c:pt>
                <c:pt idx="23">
                  <c:v>1.7</c:v>
                </c:pt>
                <c:pt idx="24">
                  <c:v>1.2</c:v>
                </c:pt>
                <c:pt idx="25">
                  <c:v>1.4</c:v>
                </c:pt>
                <c:pt idx="26">
                  <c:v>1.6</c:v>
                </c:pt>
                <c:pt idx="27">
                  <c:v>1.4</c:v>
                </c:pt>
                <c:pt idx="28">
                  <c:v>2.1</c:v>
                </c:pt>
                <c:pt idx="29">
                  <c:v>2.1</c:v>
                </c:pt>
                <c:pt idx="30">
                  <c:v>1.8</c:v>
                </c:pt>
                <c:pt idx="31">
                  <c:v>2</c:v>
                </c:pt>
                <c:pt idx="32">
                  <c:v>1.4</c:v>
                </c:pt>
                <c:pt idx="33">
                  <c:v>1.4</c:v>
                </c:pt>
                <c:pt idx="34">
                  <c:v>1.7</c:v>
                </c:pt>
                <c:pt idx="35">
                  <c:v>1.9000000000000001</c:v>
                </c:pt>
              </c:numCache>
            </c:numRef>
          </c:val>
          <c:smooth val="0"/>
          <c:extLst xmlns:c16r2="http://schemas.microsoft.com/office/drawing/2015/06/chart">
            <c:ext xmlns:c16="http://schemas.microsoft.com/office/drawing/2014/chart" uri="{C3380CC4-5D6E-409C-BE32-E72D297353CC}">
              <c16:uniqueId val="{00000000-16D3-42AF-83CB-D40A9D90B9F7}"/>
            </c:ext>
          </c:extLst>
        </c:ser>
        <c:ser>
          <c:idx val="1"/>
          <c:order val="1"/>
          <c:tx>
            <c:v>工业生产者出厂价格</c:v>
          </c:tx>
          <c:spPr>
            <a:ln w="12700">
              <a:solidFill>
                <a:srgbClr val="FF00FF"/>
              </a:solidFill>
              <a:prstDash val="solid"/>
            </a:ln>
          </c:spPr>
          <c:marker>
            <c:symbol val="square"/>
            <c:size val="5"/>
            <c:spPr>
              <a:solidFill>
                <a:srgbClr val="FF00FF"/>
              </a:solidFill>
              <a:ln>
                <a:solidFill>
                  <a:srgbClr val="FF00FF"/>
                </a:solidFill>
                <a:prstDash val="solid"/>
              </a:ln>
            </c:spPr>
          </c:marker>
          <c:cat>
            <c:strRef>
              <c:f>价格增长率!$A$27:$A$62</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价格增长率!$C$27:$C$62</c:f>
              <c:numCache>
                <c:formatCode>General</c:formatCode>
                <c:ptCount val="36"/>
                <c:pt idx="0">
                  <c:v>-4.5999999999999996</c:v>
                </c:pt>
                <c:pt idx="1">
                  <c:v>-7.2</c:v>
                </c:pt>
                <c:pt idx="2">
                  <c:v>-7.7</c:v>
                </c:pt>
                <c:pt idx="3">
                  <c:v>-2.1</c:v>
                </c:pt>
                <c:pt idx="4">
                  <c:v>5.2</c:v>
                </c:pt>
                <c:pt idx="5">
                  <c:v>6.8</c:v>
                </c:pt>
                <c:pt idx="6">
                  <c:v>4.5</c:v>
                </c:pt>
                <c:pt idx="7">
                  <c:v>5.5</c:v>
                </c:pt>
                <c:pt idx="8">
                  <c:v>7.1</c:v>
                </c:pt>
                <c:pt idx="9">
                  <c:v>6.9</c:v>
                </c:pt>
                <c:pt idx="10">
                  <c:v>7</c:v>
                </c:pt>
                <c:pt idx="11">
                  <c:v>3</c:v>
                </c:pt>
                <c:pt idx="12">
                  <c:v>0.1</c:v>
                </c:pt>
                <c:pt idx="13">
                  <c:v>-1.3</c:v>
                </c:pt>
                <c:pt idx="14">
                  <c:v>-3.3</c:v>
                </c:pt>
                <c:pt idx="15">
                  <c:v>-2.2999999999999998</c:v>
                </c:pt>
                <c:pt idx="16">
                  <c:v>-1.7</c:v>
                </c:pt>
                <c:pt idx="17">
                  <c:v>-2.7</c:v>
                </c:pt>
                <c:pt idx="18">
                  <c:v>-1.9000000000000001</c:v>
                </c:pt>
                <c:pt idx="19">
                  <c:v>-1.3</c:v>
                </c:pt>
                <c:pt idx="20">
                  <c:v>-2</c:v>
                </c:pt>
                <c:pt idx="21">
                  <c:v>-1.6</c:v>
                </c:pt>
                <c:pt idx="22">
                  <c:v>-1.2</c:v>
                </c:pt>
                <c:pt idx="23">
                  <c:v>-2.8</c:v>
                </c:pt>
                <c:pt idx="24">
                  <c:v>-4.5999999999999996</c:v>
                </c:pt>
                <c:pt idx="25">
                  <c:v>-4.5999999999999996</c:v>
                </c:pt>
                <c:pt idx="26">
                  <c:v>-5.8</c:v>
                </c:pt>
                <c:pt idx="27">
                  <c:v>-5.8</c:v>
                </c:pt>
                <c:pt idx="28">
                  <c:v>-4.8</c:v>
                </c:pt>
                <c:pt idx="29">
                  <c:v>-3</c:v>
                </c:pt>
                <c:pt idx="30">
                  <c:v>-0.9</c:v>
                </c:pt>
                <c:pt idx="31">
                  <c:v>3.1</c:v>
                </c:pt>
                <c:pt idx="32">
                  <c:v>7.4</c:v>
                </c:pt>
                <c:pt idx="33">
                  <c:v>5.8</c:v>
                </c:pt>
                <c:pt idx="34">
                  <c:v>6.3</c:v>
                </c:pt>
                <c:pt idx="35">
                  <c:v>5.7</c:v>
                </c:pt>
              </c:numCache>
            </c:numRef>
          </c:val>
          <c:smooth val="0"/>
          <c:extLst xmlns:c16r2="http://schemas.microsoft.com/office/drawing/2015/06/chart">
            <c:ext xmlns:c16="http://schemas.microsoft.com/office/drawing/2014/chart" uri="{C3380CC4-5D6E-409C-BE32-E72D297353CC}">
              <c16:uniqueId val="{00000001-16D3-42AF-83CB-D40A9D90B9F7}"/>
            </c:ext>
          </c:extLst>
        </c:ser>
        <c:ser>
          <c:idx val="2"/>
          <c:order val="2"/>
          <c:tx>
            <c:v>工业生产者购进价格</c:v>
          </c:tx>
          <c:spPr>
            <a:ln w="12700">
              <a:solidFill>
                <a:srgbClr val="800080"/>
              </a:solidFill>
              <a:prstDash val="solid"/>
            </a:ln>
          </c:spPr>
          <c:marker>
            <c:symbol val="triangle"/>
            <c:size val="5"/>
            <c:spPr>
              <a:solidFill>
                <a:srgbClr val="800080"/>
              </a:solidFill>
              <a:ln>
                <a:solidFill>
                  <a:srgbClr val="800080"/>
                </a:solidFill>
                <a:prstDash val="solid"/>
              </a:ln>
            </c:spPr>
          </c:marker>
          <c:cat>
            <c:strRef>
              <c:f>价格增长率!$A$27:$A$62</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价格增长率!$D$27:$D$62</c:f>
              <c:numCache>
                <c:formatCode>General</c:formatCode>
                <c:ptCount val="36"/>
                <c:pt idx="0">
                  <c:v>-7.1</c:v>
                </c:pt>
                <c:pt idx="1">
                  <c:v>-10.3</c:v>
                </c:pt>
                <c:pt idx="2">
                  <c:v>-11.1</c:v>
                </c:pt>
                <c:pt idx="3">
                  <c:v>-3.4</c:v>
                </c:pt>
                <c:pt idx="4">
                  <c:v>9.9</c:v>
                </c:pt>
                <c:pt idx="5">
                  <c:v>11.7</c:v>
                </c:pt>
                <c:pt idx="6">
                  <c:v>7.8</c:v>
                </c:pt>
                <c:pt idx="7">
                  <c:v>9</c:v>
                </c:pt>
                <c:pt idx="8">
                  <c:v>10.200000000000001</c:v>
                </c:pt>
                <c:pt idx="9">
                  <c:v>10.4</c:v>
                </c:pt>
                <c:pt idx="10">
                  <c:v>10.6</c:v>
                </c:pt>
                <c:pt idx="11">
                  <c:v>5.2</c:v>
                </c:pt>
                <c:pt idx="12">
                  <c:v>1</c:v>
                </c:pt>
                <c:pt idx="13">
                  <c:v>-1.6</c:v>
                </c:pt>
                <c:pt idx="14">
                  <c:v>-3.9</c:v>
                </c:pt>
                <c:pt idx="15">
                  <c:v>-2.7</c:v>
                </c:pt>
                <c:pt idx="16">
                  <c:v>-1.9000000000000001</c:v>
                </c:pt>
                <c:pt idx="17">
                  <c:v>-2.9</c:v>
                </c:pt>
                <c:pt idx="18">
                  <c:v>-1.8</c:v>
                </c:pt>
                <c:pt idx="19">
                  <c:v>-1.4</c:v>
                </c:pt>
                <c:pt idx="20">
                  <c:v>-2.1</c:v>
                </c:pt>
                <c:pt idx="21">
                  <c:v>-1.9000000000000001</c:v>
                </c:pt>
                <c:pt idx="22">
                  <c:v>-1.4</c:v>
                </c:pt>
                <c:pt idx="23">
                  <c:v>-3.4</c:v>
                </c:pt>
                <c:pt idx="24">
                  <c:v>-5.6</c:v>
                </c:pt>
                <c:pt idx="25">
                  <c:v>-5.4</c:v>
                </c:pt>
                <c:pt idx="26">
                  <c:v>-6.7</c:v>
                </c:pt>
                <c:pt idx="27">
                  <c:v>-6.7</c:v>
                </c:pt>
                <c:pt idx="28">
                  <c:v>-5.8</c:v>
                </c:pt>
                <c:pt idx="29">
                  <c:v>-3.8</c:v>
                </c:pt>
                <c:pt idx="30">
                  <c:v>-1.8</c:v>
                </c:pt>
                <c:pt idx="31">
                  <c:v>3.4</c:v>
                </c:pt>
                <c:pt idx="32">
                  <c:v>9.4</c:v>
                </c:pt>
                <c:pt idx="33">
                  <c:v>8</c:v>
                </c:pt>
                <c:pt idx="34">
                  <c:v>7.8</c:v>
                </c:pt>
                <c:pt idx="35">
                  <c:v>7.2</c:v>
                </c:pt>
              </c:numCache>
            </c:numRef>
          </c:val>
          <c:smooth val="0"/>
          <c:extLst xmlns:c16r2="http://schemas.microsoft.com/office/drawing/2015/06/chart">
            <c:ext xmlns:c16="http://schemas.microsoft.com/office/drawing/2014/chart" uri="{C3380CC4-5D6E-409C-BE32-E72D297353CC}">
              <c16:uniqueId val="{00000002-16D3-42AF-83CB-D40A9D90B9F7}"/>
            </c:ext>
          </c:extLst>
        </c:ser>
        <c:dLbls>
          <c:showLegendKey val="0"/>
          <c:showVal val="0"/>
          <c:showCatName val="0"/>
          <c:showSerName val="0"/>
          <c:showPercent val="0"/>
          <c:showBubbleSize val="0"/>
        </c:dLbls>
        <c:marker val="1"/>
        <c:smooth val="0"/>
        <c:axId val="316462208"/>
        <c:axId val="316464128"/>
      </c:lineChart>
      <c:catAx>
        <c:axId val="316462208"/>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316464128"/>
        <c:crosses val="autoZero"/>
        <c:auto val="1"/>
        <c:lblAlgn val="ctr"/>
        <c:lblOffset val="100"/>
        <c:tickLblSkip val="1"/>
        <c:tickMarkSkip val="1"/>
        <c:noMultiLvlLbl val="0"/>
      </c:catAx>
      <c:valAx>
        <c:axId val="31646412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16462208"/>
        <c:crosses val="autoZero"/>
        <c:crossBetween val="midCat"/>
      </c:valAx>
      <c:spPr>
        <a:solidFill>
          <a:srgbClr val="FFFFFF"/>
        </a:solidFill>
        <a:ln w="3175">
          <a:solidFill>
            <a:srgbClr val="000000"/>
          </a:solidFill>
          <a:prstDash val="solid"/>
        </a:ln>
      </c:spPr>
    </c:plotArea>
    <c:legend>
      <c:legendPos val="b"/>
      <c:layout>
        <c:manualLayout>
          <c:xMode val="edge"/>
          <c:yMode val="edge"/>
          <c:x val="0.14070369344535449"/>
          <c:y val="0.903448275862067"/>
          <c:w val="0.71859419582602357"/>
          <c:h val="7.5862068965517324E-2"/>
        </c:manualLayout>
      </c:layout>
      <c:overlay val="0"/>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投资与消费单季同比增长率（%）</a:t>
            </a:r>
          </a:p>
        </c:rich>
      </c:tx>
      <c:layout>
        <c:manualLayout>
          <c:xMode val="edge"/>
          <c:yMode val="edge"/>
          <c:x val="0.27095577965035184"/>
          <c:y val="3.5483870967742012E-2"/>
        </c:manualLayout>
      </c:layout>
      <c:overlay val="0"/>
      <c:spPr>
        <a:noFill/>
        <a:ln w="25400">
          <a:noFill/>
        </a:ln>
      </c:spPr>
    </c:title>
    <c:autoTitleDeleted val="0"/>
    <c:plotArea>
      <c:layout>
        <c:manualLayout>
          <c:layoutTarget val="inner"/>
          <c:xMode val="edge"/>
          <c:yMode val="edge"/>
          <c:x val="6.8226250735278715E-2"/>
          <c:y val="0.19032288042288373"/>
          <c:w val="0.86160008071409322"/>
          <c:h val="0.47742010682350594"/>
        </c:manualLayout>
      </c:layout>
      <c:lineChart>
        <c:grouping val="standard"/>
        <c:varyColors val="0"/>
        <c:ser>
          <c:idx val="0"/>
          <c:order val="0"/>
          <c:tx>
            <c:v>固定资产投资</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Sheet1!$A$28:$A$63</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Sheet1!$B$28:$B$63</c:f>
              <c:numCache>
                <c:formatCode>General</c:formatCode>
                <c:ptCount val="36"/>
                <c:pt idx="0">
                  <c:v>28.8</c:v>
                </c:pt>
                <c:pt idx="1">
                  <c:v>38.200000000000003</c:v>
                </c:pt>
                <c:pt idx="2">
                  <c:v>33.200000000000003</c:v>
                </c:pt>
                <c:pt idx="3">
                  <c:v>20.2</c:v>
                </c:pt>
                <c:pt idx="4">
                  <c:v>25.6</c:v>
                </c:pt>
                <c:pt idx="5">
                  <c:v>24.4</c:v>
                </c:pt>
                <c:pt idx="6">
                  <c:v>22</c:v>
                </c:pt>
                <c:pt idx="7">
                  <c:v>23.2</c:v>
                </c:pt>
                <c:pt idx="8">
                  <c:v>25</c:v>
                </c:pt>
                <c:pt idx="9">
                  <c:v>26.2</c:v>
                </c:pt>
                <c:pt idx="10">
                  <c:v>23.5</c:v>
                </c:pt>
                <c:pt idx="11">
                  <c:v>20.5</c:v>
                </c:pt>
                <c:pt idx="12">
                  <c:v>20.9</c:v>
                </c:pt>
                <c:pt idx="13">
                  <c:v>19.899999999999999</c:v>
                </c:pt>
                <c:pt idx="14">
                  <c:v>20.7</c:v>
                </c:pt>
                <c:pt idx="15">
                  <c:v>20.9</c:v>
                </c:pt>
                <c:pt idx="16">
                  <c:v>20.9</c:v>
                </c:pt>
                <c:pt idx="17">
                  <c:v>19.3</c:v>
                </c:pt>
                <c:pt idx="18">
                  <c:v>20.399999999999999</c:v>
                </c:pt>
                <c:pt idx="19">
                  <c:v>17.8</c:v>
                </c:pt>
                <c:pt idx="20">
                  <c:v>17.600000000000001</c:v>
                </c:pt>
                <c:pt idx="21">
                  <c:v>17</c:v>
                </c:pt>
                <c:pt idx="22">
                  <c:v>13.7</c:v>
                </c:pt>
                <c:pt idx="23">
                  <c:v>14.5</c:v>
                </c:pt>
                <c:pt idx="24">
                  <c:v>13.5</c:v>
                </c:pt>
                <c:pt idx="25">
                  <c:v>9.3000000000000007</c:v>
                </c:pt>
                <c:pt idx="26">
                  <c:v>8.1</c:v>
                </c:pt>
                <c:pt idx="27">
                  <c:v>9.1</c:v>
                </c:pt>
                <c:pt idx="28">
                  <c:v>10.7</c:v>
                </c:pt>
                <c:pt idx="29">
                  <c:v>7.3</c:v>
                </c:pt>
                <c:pt idx="30">
                  <c:v>6.6</c:v>
                </c:pt>
                <c:pt idx="31">
                  <c:v>7.8</c:v>
                </c:pt>
                <c:pt idx="32">
                  <c:v>9.2000000000000011</c:v>
                </c:pt>
                <c:pt idx="33">
                  <c:v>8</c:v>
                </c:pt>
                <c:pt idx="34">
                  <c:v>6.1</c:v>
                </c:pt>
                <c:pt idx="35">
                  <c:v>5.5</c:v>
                </c:pt>
              </c:numCache>
            </c:numRef>
          </c:val>
          <c:smooth val="0"/>
          <c:extLst xmlns:c16r2="http://schemas.microsoft.com/office/drawing/2015/06/chart">
            <c:ext xmlns:c16="http://schemas.microsoft.com/office/drawing/2014/chart" uri="{C3380CC4-5D6E-409C-BE32-E72D297353CC}">
              <c16:uniqueId val="{00000000-5D8E-402B-AC0D-DF0CC42ED571}"/>
            </c:ext>
          </c:extLst>
        </c:ser>
        <c:ser>
          <c:idx val="1"/>
          <c:order val="1"/>
          <c:tx>
            <c:v>消费品零售总额</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Sheet1!$A$28:$A$63</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Sheet1!$C$28:$C$63</c:f>
              <c:numCache>
                <c:formatCode>General</c:formatCode>
                <c:ptCount val="36"/>
                <c:pt idx="0">
                  <c:v>15</c:v>
                </c:pt>
                <c:pt idx="1">
                  <c:v>15</c:v>
                </c:pt>
                <c:pt idx="2">
                  <c:v>15.3</c:v>
                </c:pt>
                <c:pt idx="3">
                  <c:v>16.7</c:v>
                </c:pt>
                <c:pt idx="4">
                  <c:v>17.899999999999999</c:v>
                </c:pt>
                <c:pt idx="5">
                  <c:v>18.5</c:v>
                </c:pt>
                <c:pt idx="6">
                  <c:v>18.5</c:v>
                </c:pt>
                <c:pt idx="7">
                  <c:v>18.7</c:v>
                </c:pt>
                <c:pt idx="8">
                  <c:v>16.3</c:v>
                </c:pt>
                <c:pt idx="9">
                  <c:v>17.3</c:v>
                </c:pt>
                <c:pt idx="10">
                  <c:v>17.399999999999999</c:v>
                </c:pt>
                <c:pt idx="11">
                  <c:v>17.399999999999999</c:v>
                </c:pt>
                <c:pt idx="12">
                  <c:v>14.8</c:v>
                </c:pt>
                <c:pt idx="13">
                  <c:v>14</c:v>
                </c:pt>
                <c:pt idx="14">
                  <c:v>13.5</c:v>
                </c:pt>
                <c:pt idx="15">
                  <c:v>14.9</c:v>
                </c:pt>
                <c:pt idx="16">
                  <c:v>12.4</c:v>
                </c:pt>
                <c:pt idx="17">
                  <c:v>13</c:v>
                </c:pt>
                <c:pt idx="18">
                  <c:v>13.3</c:v>
                </c:pt>
                <c:pt idx="19">
                  <c:v>13.7</c:v>
                </c:pt>
                <c:pt idx="20">
                  <c:v>12</c:v>
                </c:pt>
                <c:pt idx="21">
                  <c:v>12.2</c:v>
                </c:pt>
                <c:pt idx="22">
                  <c:v>11.8</c:v>
                </c:pt>
                <c:pt idx="23">
                  <c:v>12</c:v>
                </c:pt>
                <c:pt idx="24">
                  <c:v>10.6</c:v>
                </c:pt>
                <c:pt idx="25">
                  <c:v>10.200000000000001</c:v>
                </c:pt>
                <c:pt idx="26">
                  <c:v>10.7</c:v>
                </c:pt>
                <c:pt idx="27">
                  <c:v>11.3</c:v>
                </c:pt>
                <c:pt idx="28">
                  <c:v>10.3</c:v>
                </c:pt>
                <c:pt idx="29">
                  <c:v>10.3</c:v>
                </c:pt>
                <c:pt idx="30">
                  <c:v>10.6</c:v>
                </c:pt>
                <c:pt idx="31">
                  <c:v>10.4</c:v>
                </c:pt>
                <c:pt idx="32">
                  <c:v>10</c:v>
                </c:pt>
                <c:pt idx="33">
                  <c:v>10.8</c:v>
                </c:pt>
                <c:pt idx="34">
                  <c:v>10.4</c:v>
                </c:pt>
                <c:pt idx="35">
                  <c:v>9.6</c:v>
                </c:pt>
              </c:numCache>
            </c:numRef>
          </c:val>
          <c:smooth val="0"/>
          <c:extLst xmlns:c16r2="http://schemas.microsoft.com/office/drawing/2015/06/chart">
            <c:ext xmlns:c16="http://schemas.microsoft.com/office/drawing/2014/chart" uri="{C3380CC4-5D6E-409C-BE32-E72D297353CC}">
              <c16:uniqueId val="{00000001-5D8E-402B-AC0D-DF0CC42ED571}"/>
            </c:ext>
          </c:extLst>
        </c:ser>
        <c:dLbls>
          <c:showLegendKey val="0"/>
          <c:showVal val="0"/>
          <c:showCatName val="0"/>
          <c:showSerName val="0"/>
          <c:showPercent val="0"/>
          <c:showBubbleSize val="0"/>
        </c:dLbls>
        <c:marker val="1"/>
        <c:smooth val="0"/>
        <c:axId val="316494208"/>
        <c:axId val="316496128"/>
      </c:lineChart>
      <c:catAx>
        <c:axId val="316494208"/>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316496128"/>
        <c:crosses val="autoZero"/>
        <c:auto val="1"/>
        <c:lblAlgn val="ctr"/>
        <c:lblOffset val="100"/>
        <c:tickLblSkip val="1"/>
        <c:tickMarkSkip val="1"/>
        <c:noMultiLvlLbl val="0"/>
      </c:catAx>
      <c:valAx>
        <c:axId val="31649612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16494208"/>
        <c:crosses val="autoZero"/>
        <c:crossBetween val="midCat"/>
      </c:valAx>
      <c:spPr>
        <a:solidFill>
          <a:srgbClr val="FFFFFF"/>
        </a:solidFill>
        <a:ln w="12700">
          <a:solidFill>
            <a:srgbClr val="808080"/>
          </a:solidFill>
          <a:prstDash val="solid"/>
        </a:ln>
      </c:spPr>
    </c:plotArea>
    <c:legend>
      <c:legendPos val="b"/>
      <c:layout>
        <c:manualLayout>
          <c:xMode val="edge"/>
          <c:yMode val="edge"/>
          <c:x val="0.22027331378899273"/>
          <c:y val="0.90967877402421471"/>
          <c:w val="0.5594552142970437"/>
          <c:h val="7.0967741935484024E-2"/>
        </c:manualLayout>
      </c:layout>
      <c:overlay val="0"/>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zh-CN" altLang="en-US" sz="1200" b="0" i="0" u="none" strike="noStrike" baseline="0">
                <a:solidFill>
                  <a:srgbClr val="000000"/>
                </a:solidFill>
                <a:latin typeface="Arial"/>
                <a:cs typeface="Arial"/>
              </a:rPr>
              <a:t>进出口单季增长率与贸易顺差单季值（%，亿美元）</a:t>
            </a:r>
          </a:p>
        </c:rich>
      </c:tx>
      <c:layout>
        <c:manualLayout>
          <c:xMode val="edge"/>
          <c:yMode val="edge"/>
          <c:x val="0.18619146290924171"/>
          <c:y val="6.1290322580645158E-2"/>
        </c:manualLayout>
      </c:layout>
      <c:overlay val="0"/>
      <c:spPr>
        <a:noFill/>
        <a:ln w="25400">
          <a:noFill/>
        </a:ln>
      </c:spPr>
    </c:title>
    <c:autoTitleDeleted val="0"/>
    <c:plotArea>
      <c:layout>
        <c:manualLayout>
          <c:layoutTarget val="inner"/>
          <c:xMode val="edge"/>
          <c:yMode val="edge"/>
          <c:x val="7.6400742453395634E-2"/>
          <c:y val="0.19677450348806622"/>
          <c:w val="0.83191919560364169"/>
          <c:h val="0.65161392958343478"/>
        </c:manualLayout>
      </c:layout>
      <c:barChart>
        <c:barDir val="col"/>
        <c:grouping val="clustered"/>
        <c:varyColors val="0"/>
        <c:ser>
          <c:idx val="2"/>
          <c:order val="2"/>
          <c:tx>
            <c:v>顺差</c:v>
          </c:tx>
          <c:spPr>
            <a:ln w="12700">
              <a:solidFill>
                <a:srgbClr val="800080"/>
              </a:solidFill>
              <a:prstDash val="solid"/>
            </a:ln>
          </c:spPr>
          <c:invertIfNegative val="0"/>
          <c:cat>
            <c:strRef>
              <c:f>进出口增长率及汇率!$A$28:$A$63</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进出口增长率及汇率!$D$28:$D$63</c:f>
              <c:numCache>
                <c:formatCode>General</c:formatCode>
                <c:ptCount val="36"/>
                <c:pt idx="0">
                  <c:v>623</c:v>
                </c:pt>
                <c:pt idx="1">
                  <c:v>346</c:v>
                </c:pt>
                <c:pt idx="2">
                  <c:v>386</c:v>
                </c:pt>
                <c:pt idx="3">
                  <c:v>606</c:v>
                </c:pt>
                <c:pt idx="4">
                  <c:v>144.9</c:v>
                </c:pt>
                <c:pt idx="5">
                  <c:v>408.1</c:v>
                </c:pt>
                <c:pt idx="6">
                  <c:v>653</c:v>
                </c:pt>
                <c:pt idx="7">
                  <c:v>625</c:v>
                </c:pt>
                <c:pt idx="8">
                  <c:v>-10</c:v>
                </c:pt>
                <c:pt idx="9">
                  <c:v>-8.2000000000000011</c:v>
                </c:pt>
                <c:pt idx="10">
                  <c:v>18.899999999999999</c:v>
                </c:pt>
                <c:pt idx="11">
                  <c:v>-3.4</c:v>
                </c:pt>
                <c:pt idx="12">
                  <c:v>6.7</c:v>
                </c:pt>
                <c:pt idx="13">
                  <c:v>682.5</c:v>
                </c:pt>
                <c:pt idx="14">
                  <c:v>800.5</c:v>
                </c:pt>
                <c:pt idx="15">
                  <c:v>821.3</c:v>
                </c:pt>
                <c:pt idx="16">
                  <c:v>430.7</c:v>
                </c:pt>
                <c:pt idx="17">
                  <c:v>648.79999999999995</c:v>
                </c:pt>
                <c:pt idx="18">
                  <c:v>614.5</c:v>
                </c:pt>
                <c:pt idx="19">
                  <c:v>903.5</c:v>
                </c:pt>
                <c:pt idx="20">
                  <c:v>167.4</c:v>
                </c:pt>
                <c:pt idx="21">
                  <c:v>861.3</c:v>
                </c:pt>
                <c:pt idx="22">
                  <c:v>1287.3</c:v>
                </c:pt>
                <c:pt idx="23">
                  <c:v>1508.6</c:v>
                </c:pt>
                <c:pt idx="24">
                  <c:v>1237</c:v>
                </c:pt>
                <c:pt idx="25">
                  <c:v>1364</c:v>
                </c:pt>
                <c:pt idx="26">
                  <c:v>1493</c:v>
                </c:pt>
                <c:pt idx="27">
                  <c:v>1490</c:v>
                </c:pt>
                <c:pt idx="28">
                  <c:v>1257</c:v>
                </c:pt>
                <c:pt idx="29">
                  <c:v>1325</c:v>
                </c:pt>
                <c:pt idx="30">
                  <c:v>1334</c:v>
                </c:pt>
                <c:pt idx="31">
                  <c:v>900</c:v>
                </c:pt>
                <c:pt idx="32">
                  <c:v>660.6</c:v>
                </c:pt>
                <c:pt idx="33">
                  <c:v>1886.8</c:v>
                </c:pt>
                <c:pt idx="34">
                  <c:v>514.5</c:v>
                </c:pt>
                <c:pt idx="35">
                  <c:v>1480</c:v>
                </c:pt>
              </c:numCache>
            </c:numRef>
          </c:val>
          <c:extLst xmlns:c16r2="http://schemas.microsoft.com/office/drawing/2015/06/chart">
            <c:ext xmlns:c16="http://schemas.microsoft.com/office/drawing/2014/chart" uri="{C3380CC4-5D6E-409C-BE32-E72D297353CC}">
              <c16:uniqueId val="{00000000-0B4C-4FF8-A8DD-62722B66118C}"/>
            </c:ext>
          </c:extLst>
        </c:ser>
        <c:dLbls>
          <c:showLegendKey val="0"/>
          <c:showVal val="0"/>
          <c:showCatName val="0"/>
          <c:showSerName val="0"/>
          <c:showPercent val="0"/>
          <c:showBubbleSize val="0"/>
        </c:dLbls>
        <c:gapWidth val="210"/>
        <c:axId val="316537856"/>
        <c:axId val="316536320"/>
      </c:barChart>
      <c:lineChart>
        <c:grouping val="standard"/>
        <c:varyColors val="0"/>
        <c:ser>
          <c:idx val="1"/>
          <c:order val="0"/>
          <c:tx>
            <c:v>进口</c:v>
          </c:tx>
          <c:spPr>
            <a:ln w="12700">
              <a:solidFill>
                <a:srgbClr val="FF00FF"/>
              </a:solidFill>
              <a:prstDash val="solid"/>
            </a:ln>
          </c:spPr>
          <c:marker>
            <c:symbol val="square"/>
            <c:size val="5"/>
            <c:spPr>
              <a:solidFill>
                <a:srgbClr val="FF00FF"/>
              </a:solidFill>
              <a:ln>
                <a:solidFill>
                  <a:srgbClr val="FF00FF"/>
                </a:solidFill>
                <a:prstDash val="solid"/>
              </a:ln>
            </c:spPr>
          </c:marker>
          <c:cat>
            <c:strRef>
              <c:f>进出口增长率及汇率!$A$28:$A$63</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进出口增长率及汇率!$B$28:$B$63</c:f>
              <c:numCache>
                <c:formatCode>General</c:formatCode>
                <c:ptCount val="36"/>
                <c:pt idx="0">
                  <c:v>-30.9</c:v>
                </c:pt>
                <c:pt idx="1">
                  <c:v>-19.899999999999999</c:v>
                </c:pt>
                <c:pt idx="2">
                  <c:v>-10.4</c:v>
                </c:pt>
                <c:pt idx="3">
                  <c:v>-16.399999999999999</c:v>
                </c:pt>
                <c:pt idx="4">
                  <c:v>64.599999999999994</c:v>
                </c:pt>
                <c:pt idx="5">
                  <c:v>40.800000000000004</c:v>
                </c:pt>
                <c:pt idx="6">
                  <c:v>21.8</c:v>
                </c:pt>
                <c:pt idx="7">
                  <c:v>27.6</c:v>
                </c:pt>
                <c:pt idx="8">
                  <c:v>32.6</c:v>
                </c:pt>
                <c:pt idx="9">
                  <c:v>22.6</c:v>
                </c:pt>
                <c:pt idx="10">
                  <c:v>24.9</c:v>
                </c:pt>
                <c:pt idx="11">
                  <c:v>19.5</c:v>
                </c:pt>
                <c:pt idx="12">
                  <c:v>6.9</c:v>
                </c:pt>
                <c:pt idx="13">
                  <c:v>6.5</c:v>
                </c:pt>
                <c:pt idx="14">
                  <c:v>1</c:v>
                </c:pt>
                <c:pt idx="15">
                  <c:v>2.8</c:v>
                </c:pt>
                <c:pt idx="16">
                  <c:v>8.4</c:v>
                </c:pt>
                <c:pt idx="17">
                  <c:v>5</c:v>
                </c:pt>
                <c:pt idx="18">
                  <c:v>8.5</c:v>
                </c:pt>
                <c:pt idx="19">
                  <c:v>7.3</c:v>
                </c:pt>
                <c:pt idx="20">
                  <c:v>1.6</c:v>
                </c:pt>
                <c:pt idx="21">
                  <c:v>1.4</c:v>
                </c:pt>
                <c:pt idx="22">
                  <c:v>0.9</c:v>
                </c:pt>
                <c:pt idx="23">
                  <c:v>-6.3</c:v>
                </c:pt>
                <c:pt idx="24">
                  <c:v>-17.3</c:v>
                </c:pt>
                <c:pt idx="25">
                  <c:v>-13.7</c:v>
                </c:pt>
                <c:pt idx="26">
                  <c:v>-14.3</c:v>
                </c:pt>
                <c:pt idx="27">
                  <c:v>-7.5</c:v>
                </c:pt>
                <c:pt idx="28">
                  <c:v>-8.2000000000000011</c:v>
                </c:pt>
                <c:pt idx="29">
                  <c:v>-6</c:v>
                </c:pt>
                <c:pt idx="30">
                  <c:v>7.3</c:v>
                </c:pt>
                <c:pt idx="31">
                  <c:v>9.3000000000000007</c:v>
                </c:pt>
                <c:pt idx="32">
                  <c:v>31.1</c:v>
                </c:pt>
                <c:pt idx="33">
                  <c:v>20.3</c:v>
                </c:pt>
                <c:pt idx="34">
                  <c:v>15.5</c:v>
                </c:pt>
                <c:pt idx="35">
                  <c:v>7.9</c:v>
                </c:pt>
              </c:numCache>
            </c:numRef>
          </c:val>
          <c:smooth val="0"/>
          <c:extLst xmlns:c16r2="http://schemas.microsoft.com/office/drawing/2015/06/chart">
            <c:ext xmlns:c16="http://schemas.microsoft.com/office/drawing/2014/chart" uri="{C3380CC4-5D6E-409C-BE32-E72D297353CC}">
              <c16:uniqueId val="{00000001-0B4C-4FF8-A8DD-62722B66118C}"/>
            </c:ext>
          </c:extLst>
        </c:ser>
        <c:ser>
          <c:idx val="0"/>
          <c:order val="1"/>
          <c:tx>
            <c:v>出口</c:v>
          </c:tx>
          <c:spPr>
            <a:ln w="12700">
              <a:solidFill>
                <a:srgbClr val="000080"/>
              </a:solidFill>
              <a:prstDash val="solid"/>
            </a:ln>
          </c:spPr>
          <c:marker>
            <c:symbol val="diamond"/>
            <c:size val="5"/>
            <c:spPr>
              <a:solidFill>
                <a:srgbClr val="000080"/>
              </a:solidFill>
              <a:ln>
                <a:solidFill>
                  <a:srgbClr val="000080"/>
                </a:solidFill>
                <a:prstDash val="solid"/>
              </a:ln>
            </c:spPr>
          </c:marker>
          <c:cat>
            <c:strRef>
              <c:f>进出口增长率及汇率!$A$28:$A$63</c:f>
              <c:strCache>
                <c:ptCount val="3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strCache>
            </c:strRef>
          </c:cat>
          <c:val>
            <c:numRef>
              <c:f>进出口增长率及汇率!$C$28:$C$63</c:f>
              <c:numCache>
                <c:formatCode>General</c:formatCode>
                <c:ptCount val="36"/>
                <c:pt idx="0">
                  <c:v>-19.7</c:v>
                </c:pt>
                <c:pt idx="1">
                  <c:v>-23.9</c:v>
                </c:pt>
                <c:pt idx="2">
                  <c:v>-20.3</c:v>
                </c:pt>
                <c:pt idx="3">
                  <c:v>0.1</c:v>
                </c:pt>
                <c:pt idx="4">
                  <c:v>28.7</c:v>
                </c:pt>
                <c:pt idx="5">
                  <c:v>41.7</c:v>
                </c:pt>
                <c:pt idx="6">
                  <c:v>31.6</c:v>
                </c:pt>
                <c:pt idx="7">
                  <c:v>23.2</c:v>
                </c:pt>
                <c:pt idx="8">
                  <c:v>26.5</c:v>
                </c:pt>
                <c:pt idx="9">
                  <c:v>21.5</c:v>
                </c:pt>
                <c:pt idx="10">
                  <c:v>20.100000000000001</c:v>
                </c:pt>
                <c:pt idx="11">
                  <c:v>13.1</c:v>
                </c:pt>
                <c:pt idx="12">
                  <c:v>7.6</c:v>
                </c:pt>
                <c:pt idx="13">
                  <c:v>10.8</c:v>
                </c:pt>
                <c:pt idx="14">
                  <c:v>3.8</c:v>
                </c:pt>
                <c:pt idx="15">
                  <c:v>9.4</c:v>
                </c:pt>
                <c:pt idx="16">
                  <c:v>18.399999999999999</c:v>
                </c:pt>
                <c:pt idx="17">
                  <c:v>2.4</c:v>
                </c:pt>
                <c:pt idx="18">
                  <c:v>3.2</c:v>
                </c:pt>
                <c:pt idx="19">
                  <c:v>6.4</c:v>
                </c:pt>
                <c:pt idx="20">
                  <c:v>-3.4</c:v>
                </c:pt>
                <c:pt idx="21">
                  <c:v>5.2</c:v>
                </c:pt>
                <c:pt idx="22">
                  <c:v>13.5</c:v>
                </c:pt>
                <c:pt idx="23">
                  <c:v>4.3</c:v>
                </c:pt>
                <c:pt idx="24">
                  <c:v>4.9000000000000004</c:v>
                </c:pt>
                <c:pt idx="25">
                  <c:v>-3.1</c:v>
                </c:pt>
                <c:pt idx="26">
                  <c:v>-7.2</c:v>
                </c:pt>
                <c:pt idx="27">
                  <c:v>-1.8</c:v>
                </c:pt>
                <c:pt idx="28">
                  <c:v>-7.9</c:v>
                </c:pt>
                <c:pt idx="29">
                  <c:v>-0.8</c:v>
                </c:pt>
                <c:pt idx="30">
                  <c:v>-0.30000000000000032</c:v>
                </c:pt>
                <c:pt idx="31">
                  <c:v>0.30000000000000032</c:v>
                </c:pt>
                <c:pt idx="32">
                  <c:v>14.8</c:v>
                </c:pt>
                <c:pt idx="33">
                  <c:v>15.2</c:v>
                </c:pt>
                <c:pt idx="34">
                  <c:v>7.2</c:v>
                </c:pt>
                <c:pt idx="35">
                  <c:v>6</c:v>
                </c:pt>
              </c:numCache>
            </c:numRef>
          </c:val>
          <c:smooth val="0"/>
          <c:extLst xmlns:c16r2="http://schemas.microsoft.com/office/drawing/2015/06/chart">
            <c:ext xmlns:c16="http://schemas.microsoft.com/office/drawing/2014/chart" uri="{C3380CC4-5D6E-409C-BE32-E72D297353CC}">
              <c16:uniqueId val="{00000002-0B4C-4FF8-A8DD-62722B66118C}"/>
            </c:ext>
          </c:extLst>
        </c:ser>
        <c:dLbls>
          <c:showLegendKey val="0"/>
          <c:showVal val="0"/>
          <c:showCatName val="0"/>
          <c:showSerName val="0"/>
          <c:showPercent val="0"/>
          <c:showBubbleSize val="0"/>
        </c:dLbls>
        <c:marker val="1"/>
        <c:smooth val="0"/>
        <c:axId val="316528512"/>
        <c:axId val="316534784"/>
      </c:lineChart>
      <c:catAx>
        <c:axId val="316528512"/>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宋体"/>
                <a:ea typeface="宋体"/>
                <a:cs typeface="宋体"/>
              </a:defRPr>
            </a:pPr>
            <a:endParaRPr lang="zh-CN"/>
          </a:p>
        </c:txPr>
        <c:crossAx val="316534784"/>
        <c:crosses val="autoZero"/>
        <c:auto val="0"/>
        <c:lblAlgn val="ctr"/>
        <c:lblOffset val="100"/>
        <c:tickLblSkip val="1"/>
        <c:tickMarkSkip val="1"/>
        <c:noMultiLvlLbl val="0"/>
      </c:catAx>
      <c:valAx>
        <c:axId val="316534784"/>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zh-CN"/>
          </a:p>
        </c:txPr>
        <c:crossAx val="316528512"/>
        <c:crosses val="autoZero"/>
        <c:crossBetween val="between"/>
      </c:valAx>
      <c:valAx>
        <c:axId val="316536320"/>
        <c:scaling>
          <c:orientation val="minMax"/>
        </c:scaling>
        <c:delete val="0"/>
        <c:axPos val="r"/>
        <c:numFmt formatCode="General" sourceLinked="1"/>
        <c:majorTickMark val="out"/>
        <c:minorTickMark val="none"/>
        <c:tickLblPos val="nextTo"/>
        <c:spPr>
          <a:ln/>
        </c:spPr>
        <c:crossAx val="316537856"/>
        <c:crosses val="max"/>
        <c:crossBetween val="between"/>
      </c:valAx>
      <c:catAx>
        <c:axId val="316537856"/>
        <c:scaling>
          <c:orientation val="minMax"/>
        </c:scaling>
        <c:delete val="1"/>
        <c:axPos val="b"/>
        <c:numFmt formatCode="General" sourceLinked="1"/>
        <c:majorTickMark val="out"/>
        <c:minorTickMark val="none"/>
        <c:tickLblPos val="none"/>
        <c:crossAx val="316536320"/>
        <c:crosses val="autoZero"/>
        <c:auto val="0"/>
        <c:lblAlgn val="ctr"/>
        <c:lblOffset val="100"/>
        <c:noMultiLvlLbl val="0"/>
      </c:catAx>
      <c:spPr>
        <a:solidFill>
          <a:srgbClr val="FFFFFF"/>
        </a:solidFill>
        <a:ln w="12700">
          <a:solidFill>
            <a:srgbClr val="808080"/>
          </a:solidFill>
          <a:prstDash val="solid"/>
        </a:ln>
      </c:spPr>
    </c:plotArea>
    <c:legend>
      <c:legendPos val="r"/>
      <c:layout>
        <c:manualLayout>
          <c:xMode val="edge"/>
          <c:yMode val="edge"/>
          <c:x val="0.33106960950764236"/>
          <c:y val="0.90322580645161465"/>
          <c:w val="0.32088285229202257"/>
          <c:h val="6.4516129032258132E-2"/>
        </c:manualLayout>
      </c:layout>
      <c:overlay val="0"/>
      <c:spPr>
        <a:solidFill>
          <a:srgbClr val="FFFFFF"/>
        </a:solidFill>
        <a:ln w="25400">
          <a:noFill/>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2447</Words>
  <Characters>13954</Characters>
  <Application>Microsoft Office Word</Application>
  <DocSecurity>0</DocSecurity>
  <Lines>116</Lines>
  <Paragraphs>32</Paragraphs>
  <ScaleCrop>false</ScaleCrop>
  <Company>微软中国</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2017-10-30T07:56:00Z</cp:lastPrinted>
  <dcterms:created xsi:type="dcterms:W3CDTF">2018-07-20T13:46:00Z</dcterms:created>
  <dcterms:modified xsi:type="dcterms:W3CDTF">2018-07-20T13:46:00Z</dcterms:modified>
</cp:coreProperties>
</file>