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8FF" w:rsidRDefault="009D28FF" w:rsidP="009D28FF">
      <w:pPr>
        <w:rPr>
          <w:sz w:val="28"/>
          <w:szCs w:val="28"/>
        </w:rPr>
      </w:pPr>
      <w:bookmarkStart w:id="0" w:name="_GoBack"/>
      <w:bookmarkEnd w:id="0"/>
    </w:p>
    <w:p w:rsidR="009D28FF" w:rsidRPr="0076012B" w:rsidRDefault="009D28FF" w:rsidP="009D28FF">
      <w:pPr>
        <w:jc w:val="center"/>
        <w:rPr>
          <w:b/>
          <w:sz w:val="32"/>
          <w:szCs w:val="32"/>
        </w:rPr>
      </w:pPr>
      <w:r w:rsidRPr="0076012B">
        <w:rPr>
          <w:rFonts w:hint="eastAsia"/>
          <w:b/>
          <w:sz w:val="32"/>
          <w:szCs w:val="32"/>
        </w:rPr>
        <w:t>经济增长超稳定</w:t>
      </w:r>
      <w:r w:rsidRPr="0076012B">
        <w:rPr>
          <w:rFonts w:hint="eastAsia"/>
          <w:b/>
          <w:sz w:val="32"/>
          <w:szCs w:val="32"/>
        </w:rPr>
        <w:t xml:space="preserve">  </w:t>
      </w:r>
      <w:r w:rsidRPr="0076012B">
        <w:rPr>
          <w:rFonts w:hint="eastAsia"/>
          <w:b/>
          <w:sz w:val="32"/>
          <w:szCs w:val="32"/>
        </w:rPr>
        <w:t>贸易摩擦起风波</w:t>
      </w:r>
    </w:p>
    <w:p w:rsidR="009D28FF" w:rsidRPr="0076012B" w:rsidRDefault="009D28FF" w:rsidP="009D28FF">
      <w:pPr>
        <w:jc w:val="center"/>
        <w:rPr>
          <w:b/>
          <w:sz w:val="28"/>
          <w:szCs w:val="28"/>
        </w:rPr>
      </w:pPr>
      <w:r w:rsidRPr="0076012B">
        <w:rPr>
          <w:rFonts w:hint="eastAsia"/>
          <w:b/>
          <w:sz w:val="28"/>
          <w:szCs w:val="28"/>
        </w:rPr>
        <w:t>----2018</w:t>
      </w:r>
      <w:r w:rsidRPr="0076012B">
        <w:rPr>
          <w:rFonts w:hint="eastAsia"/>
          <w:b/>
          <w:sz w:val="28"/>
          <w:szCs w:val="28"/>
        </w:rPr>
        <w:t>年第</w:t>
      </w:r>
      <w:r w:rsidRPr="0076012B">
        <w:rPr>
          <w:rFonts w:hint="eastAsia"/>
          <w:b/>
          <w:sz w:val="28"/>
          <w:szCs w:val="28"/>
        </w:rPr>
        <w:t>1</w:t>
      </w:r>
      <w:r w:rsidRPr="0076012B">
        <w:rPr>
          <w:rFonts w:hint="eastAsia"/>
          <w:b/>
          <w:sz w:val="28"/>
          <w:szCs w:val="28"/>
        </w:rPr>
        <w:t>季度中国宏观经济分析</w:t>
      </w:r>
    </w:p>
    <w:p w:rsidR="009D28FF" w:rsidRPr="00332FD2" w:rsidRDefault="009D28FF" w:rsidP="009D28FF">
      <w:pPr>
        <w:jc w:val="center"/>
        <w:rPr>
          <w:sz w:val="28"/>
          <w:szCs w:val="28"/>
        </w:rPr>
      </w:pPr>
    </w:p>
    <w:p w:rsidR="009D28FF" w:rsidRPr="00332FD2" w:rsidRDefault="009D28FF" w:rsidP="009D28FF">
      <w:pPr>
        <w:jc w:val="center"/>
        <w:rPr>
          <w:sz w:val="28"/>
          <w:szCs w:val="28"/>
        </w:rPr>
      </w:pPr>
      <w:r w:rsidRPr="00332FD2">
        <w:rPr>
          <w:rFonts w:hint="eastAsia"/>
          <w:sz w:val="28"/>
          <w:szCs w:val="28"/>
        </w:rPr>
        <w:t>张曙光</w:t>
      </w:r>
      <w:r w:rsidRPr="00332FD2">
        <w:rPr>
          <w:rFonts w:hint="eastAsia"/>
          <w:sz w:val="28"/>
          <w:szCs w:val="28"/>
        </w:rPr>
        <w:t xml:space="preserve">  </w:t>
      </w:r>
      <w:r w:rsidRPr="00332FD2">
        <w:rPr>
          <w:rFonts w:hint="eastAsia"/>
          <w:sz w:val="28"/>
          <w:szCs w:val="28"/>
        </w:rPr>
        <w:t>张弛</w:t>
      </w:r>
    </w:p>
    <w:p w:rsidR="009D28FF" w:rsidRPr="00332FD2" w:rsidRDefault="009D28FF" w:rsidP="009D28FF">
      <w:pPr>
        <w:rPr>
          <w:sz w:val="28"/>
          <w:szCs w:val="28"/>
        </w:rPr>
      </w:pPr>
    </w:p>
    <w:p w:rsidR="009D28FF" w:rsidRPr="00332FD2" w:rsidRDefault="009D28FF" w:rsidP="009D28FF">
      <w:pPr>
        <w:ind w:firstLineChars="200" w:firstLine="560"/>
        <w:rPr>
          <w:sz w:val="28"/>
          <w:szCs w:val="28"/>
        </w:rPr>
      </w:pPr>
      <w:r w:rsidRPr="00332FD2">
        <w:rPr>
          <w:rFonts w:hint="eastAsia"/>
          <w:sz w:val="28"/>
          <w:szCs w:val="28"/>
        </w:rPr>
        <w:t>内容提要：今年</w:t>
      </w:r>
      <w:r>
        <w:rPr>
          <w:rFonts w:hint="eastAsia"/>
          <w:sz w:val="28"/>
          <w:szCs w:val="28"/>
        </w:rPr>
        <w:t>1</w:t>
      </w:r>
      <w:r w:rsidRPr="00332FD2">
        <w:rPr>
          <w:rFonts w:hint="eastAsia"/>
          <w:sz w:val="28"/>
          <w:szCs w:val="28"/>
        </w:rPr>
        <w:t>季度，</w:t>
      </w:r>
      <w:r w:rsidRPr="00332FD2">
        <w:rPr>
          <w:rFonts w:hint="eastAsia"/>
          <w:sz w:val="28"/>
          <w:szCs w:val="28"/>
        </w:rPr>
        <w:t>GDP</w:t>
      </w:r>
      <w:r w:rsidRPr="00332FD2">
        <w:rPr>
          <w:rFonts w:hint="eastAsia"/>
          <w:sz w:val="28"/>
          <w:szCs w:val="28"/>
        </w:rPr>
        <w:t>增长</w:t>
      </w:r>
      <w:r w:rsidRPr="00332FD2">
        <w:rPr>
          <w:rFonts w:hint="eastAsia"/>
          <w:sz w:val="28"/>
          <w:szCs w:val="28"/>
        </w:rPr>
        <w:t>6.8%</w:t>
      </w:r>
      <w:r w:rsidRPr="00332FD2">
        <w:rPr>
          <w:rFonts w:hint="eastAsia"/>
          <w:sz w:val="28"/>
          <w:szCs w:val="28"/>
        </w:rPr>
        <w:t>，连续</w:t>
      </w:r>
      <w:r w:rsidRPr="00332FD2">
        <w:rPr>
          <w:rFonts w:hint="eastAsia"/>
          <w:sz w:val="28"/>
          <w:szCs w:val="28"/>
        </w:rPr>
        <w:t>11</w:t>
      </w:r>
      <w:r w:rsidRPr="00332FD2">
        <w:rPr>
          <w:rFonts w:hint="eastAsia"/>
          <w:sz w:val="28"/>
          <w:szCs w:val="28"/>
        </w:rPr>
        <w:t>个季度维持在</w:t>
      </w:r>
      <w:r w:rsidRPr="00332FD2">
        <w:rPr>
          <w:rFonts w:hint="eastAsia"/>
          <w:sz w:val="28"/>
          <w:szCs w:val="28"/>
        </w:rPr>
        <w:t>6.7-6.9%</w:t>
      </w:r>
      <w:r w:rsidRPr="00332FD2">
        <w:rPr>
          <w:rFonts w:hint="eastAsia"/>
          <w:sz w:val="28"/>
          <w:szCs w:val="28"/>
        </w:rPr>
        <w:t>区间，呈现出一种超稳定的态势。但经济发展不平衡不充分的问题依然突出，制度结构和政策安排中不适应不合理的现象相当普遍，阻碍着增长动能</w:t>
      </w:r>
      <w:r>
        <w:rPr>
          <w:rFonts w:hint="eastAsia"/>
          <w:sz w:val="28"/>
          <w:szCs w:val="28"/>
        </w:rPr>
        <w:t>的</w:t>
      </w:r>
      <w:r w:rsidRPr="00332FD2">
        <w:rPr>
          <w:rFonts w:hint="eastAsia"/>
          <w:sz w:val="28"/>
          <w:szCs w:val="28"/>
        </w:rPr>
        <w:t>转换和经济结构的转型。特朗普发动贸易摩擦，事关中国和世界大局，但根本问题不在贸易，而在中国的崛起和走向、世界格局的变化</w:t>
      </w:r>
      <w:r>
        <w:rPr>
          <w:rFonts w:hint="eastAsia"/>
          <w:sz w:val="28"/>
          <w:szCs w:val="28"/>
        </w:rPr>
        <w:t>和</w:t>
      </w:r>
      <w:r w:rsidRPr="00332FD2">
        <w:rPr>
          <w:rFonts w:hint="eastAsia"/>
          <w:sz w:val="28"/>
          <w:szCs w:val="28"/>
        </w:rPr>
        <w:t>美国社会结构的断裂及其前进道路的修正和调整。</w:t>
      </w:r>
      <w:r w:rsidR="0076012B">
        <w:rPr>
          <w:rFonts w:hint="eastAsia"/>
          <w:sz w:val="28"/>
          <w:szCs w:val="28"/>
        </w:rPr>
        <w:t>风险和机遇相伴，</w:t>
      </w:r>
      <w:r w:rsidRPr="00332FD2">
        <w:rPr>
          <w:rFonts w:hint="eastAsia"/>
          <w:sz w:val="28"/>
          <w:szCs w:val="28"/>
        </w:rPr>
        <w:t>能否把坏事变成好事，取决于我们的理念和应对。</w:t>
      </w:r>
    </w:p>
    <w:p w:rsidR="009D28FF" w:rsidRPr="00332FD2" w:rsidRDefault="009D28FF" w:rsidP="009D28FF">
      <w:pPr>
        <w:rPr>
          <w:sz w:val="28"/>
          <w:szCs w:val="28"/>
        </w:rPr>
      </w:pPr>
    </w:p>
    <w:p w:rsidR="009D28FF" w:rsidRPr="00332FD2" w:rsidRDefault="009D28FF" w:rsidP="009D28FF">
      <w:pPr>
        <w:pStyle w:val="1"/>
        <w:spacing w:line="360" w:lineRule="auto"/>
        <w:ind w:firstLine="562"/>
        <w:jc w:val="center"/>
        <w:rPr>
          <w:rFonts w:ascii="宋体" w:hAnsi="宋体"/>
          <w:b/>
          <w:kern w:val="0"/>
          <w:sz w:val="28"/>
          <w:szCs w:val="28"/>
        </w:rPr>
      </w:pPr>
      <w:r w:rsidRPr="00332FD2">
        <w:rPr>
          <w:rFonts w:ascii="宋体" w:hAnsi="宋体" w:hint="eastAsia"/>
          <w:b/>
          <w:kern w:val="0"/>
          <w:sz w:val="28"/>
          <w:szCs w:val="28"/>
        </w:rPr>
        <w:t>一、总量态势</w:t>
      </w:r>
    </w:p>
    <w:p w:rsidR="009D28FF" w:rsidRPr="00332FD2" w:rsidRDefault="009D28FF" w:rsidP="009D28FF">
      <w:pPr>
        <w:spacing w:line="360" w:lineRule="auto"/>
        <w:rPr>
          <w:rFonts w:ascii="宋体" w:hAnsi="宋体"/>
          <w:b/>
          <w:sz w:val="28"/>
          <w:szCs w:val="28"/>
        </w:rPr>
      </w:pPr>
    </w:p>
    <w:p w:rsidR="009D28FF" w:rsidRPr="00332FD2" w:rsidRDefault="009D28FF" w:rsidP="009D28FF">
      <w:pPr>
        <w:spacing w:line="360" w:lineRule="auto"/>
        <w:rPr>
          <w:rFonts w:ascii="宋体" w:hAnsi="宋体"/>
          <w:b/>
          <w:sz w:val="28"/>
          <w:szCs w:val="28"/>
        </w:rPr>
      </w:pPr>
      <w:r w:rsidRPr="00332FD2">
        <w:rPr>
          <w:rFonts w:ascii="宋体" w:hAnsi="宋体"/>
          <w:b/>
          <w:sz w:val="28"/>
          <w:szCs w:val="28"/>
        </w:rPr>
        <w:t>1.</w:t>
      </w:r>
      <w:r w:rsidRPr="00332FD2">
        <w:rPr>
          <w:rFonts w:ascii="宋体" w:hAnsi="宋体" w:hint="eastAsia"/>
          <w:b/>
          <w:sz w:val="28"/>
          <w:szCs w:val="28"/>
        </w:rPr>
        <w:t>经济增长稳定</w:t>
      </w:r>
    </w:p>
    <w:p w:rsidR="009D28FF" w:rsidRPr="00332FD2" w:rsidRDefault="009D28FF" w:rsidP="009D28FF">
      <w:pPr>
        <w:rPr>
          <w:rFonts w:ascii="宋体" w:hAnsi="宋体"/>
          <w:sz w:val="28"/>
          <w:szCs w:val="28"/>
        </w:rPr>
      </w:pPr>
    </w:p>
    <w:p w:rsidR="009D28FF" w:rsidRPr="00332FD2" w:rsidRDefault="009D28FF" w:rsidP="009D28FF">
      <w:pPr>
        <w:ind w:firstLineChars="200" w:firstLine="560"/>
        <w:rPr>
          <w:rFonts w:ascii="宋体" w:hAnsi="宋体"/>
          <w:sz w:val="28"/>
          <w:szCs w:val="28"/>
        </w:rPr>
      </w:pPr>
      <w:r w:rsidRPr="00332FD2">
        <w:rPr>
          <w:rFonts w:ascii="宋体" w:hAnsi="宋体" w:hint="eastAsia"/>
          <w:sz w:val="28"/>
          <w:szCs w:val="28"/>
        </w:rPr>
        <w:t>初步核算，一季度国内生产总值</w:t>
      </w:r>
      <w:r w:rsidRPr="00332FD2">
        <w:rPr>
          <w:rFonts w:ascii="宋体" w:hAnsi="宋体"/>
          <w:sz w:val="28"/>
          <w:szCs w:val="28"/>
        </w:rPr>
        <w:t>198783</w:t>
      </w:r>
      <w:r w:rsidRPr="00332FD2">
        <w:rPr>
          <w:rFonts w:ascii="宋体" w:hAnsi="宋体" w:hint="eastAsia"/>
          <w:sz w:val="28"/>
          <w:szCs w:val="28"/>
        </w:rPr>
        <w:t>亿元，按可比价格计算，同比增长</w:t>
      </w:r>
      <w:r w:rsidRPr="00332FD2">
        <w:rPr>
          <w:rFonts w:ascii="宋体" w:hAnsi="宋体"/>
          <w:sz w:val="28"/>
          <w:szCs w:val="28"/>
        </w:rPr>
        <w:t>6.8%</w:t>
      </w:r>
      <w:r w:rsidRPr="00332FD2">
        <w:rPr>
          <w:rFonts w:ascii="宋体" w:hAnsi="宋体" w:hint="eastAsia"/>
          <w:sz w:val="28"/>
          <w:szCs w:val="28"/>
        </w:rPr>
        <w:t>，与上年第4季度持平。其中，第一产业增加值</w:t>
      </w:r>
      <w:r w:rsidRPr="00332FD2">
        <w:rPr>
          <w:rFonts w:ascii="宋体" w:hAnsi="宋体"/>
          <w:sz w:val="28"/>
          <w:szCs w:val="28"/>
        </w:rPr>
        <w:t>8904</w:t>
      </w:r>
      <w:r w:rsidRPr="00332FD2">
        <w:rPr>
          <w:rFonts w:ascii="宋体" w:hAnsi="宋体" w:hint="eastAsia"/>
          <w:sz w:val="28"/>
          <w:szCs w:val="28"/>
        </w:rPr>
        <w:t>亿元，同比增长</w:t>
      </w:r>
      <w:r w:rsidRPr="00332FD2">
        <w:rPr>
          <w:rFonts w:ascii="宋体" w:hAnsi="宋体"/>
          <w:sz w:val="28"/>
          <w:szCs w:val="28"/>
        </w:rPr>
        <w:t>3.2%</w:t>
      </w:r>
      <w:r w:rsidRPr="00332FD2">
        <w:rPr>
          <w:rFonts w:ascii="宋体" w:hAnsi="宋体" w:hint="eastAsia"/>
          <w:sz w:val="28"/>
          <w:szCs w:val="28"/>
        </w:rPr>
        <w:t>；第二产业增加值</w:t>
      </w:r>
      <w:r w:rsidRPr="00332FD2">
        <w:rPr>
          <w:rFonts w:ascii="宋体" w:hAnsi="宋体"/>
          <w:sz w:val="28"/>
          <w:szCs w:val="28"/>
        </w:rPr>
        <w:t>77451</w:t>
      </w:r>
      <w:r w:rsidRPr="00332FD2">
        <w:rPr>
          <w:rFonts w:ascii="宋体" w:hAnsi="宋体" w:hint="eastAsia"/>
          <w:sz w:val="28"/>
          <w:szCs w:val="28"/>
        </w:rPr>
        <w:t>亿元，增长</w:t>
      </w:r>
      <w:r w:rsidRPr="00332FD2">
        <w:rPr>
          <w:rFonts w:ascii="宋体" w:hAnsi="宋体"/>
          <w:sz w:val="28"/>
          <w:szCs w:val="28"/>
        </w:rPr>
        <w:t>6.3%</w:t>
      </w:r>
      <w:r w:rsidRPr="00332FD2">
        <w:rPr>
          <w:rFonts w:ascii="宋体" w:hAnsi="宋体" w:hint="eastAsia"/>
          <w:sz w:val="28"/>
          <w:szCs w:val="28"/>
        </w:rPr>
        <w:t>；第三产业增加值</w:t>
      </w:r>
      <w:r w:rsidRPr="00332FD2">
        <w:rPr>
          <w:rFonts w:ascii="宋体" w:hAnsi="宋体"/>
          <w:sz w:val="28"/>
          <w:szCs w:val="28"/>
        </w:rPr>
        <w:t>112428</w:t>
      </w:r>
      <w:r w:rsidRPr="00332FD2">
        <w:rPr>
          <w:rFonts w:ascii="宋体" w:hAnsi="宋体" w:hint="eastAsia"/>
          <w:sz w:val="28"/>
          <w:szCs w:val="28"/>
        </w:rPr>
        <w:t>亿元，增长</w:t>
      </w:r>
      <w:r w:rsidRPr="00332FD2">
        <w:rPr>
          <w:rFonts w:ascii="宋体" w:hAnsi="宋体"/>
          <w:sz w:val="28"/>
          <w:szCs w:val="28"/>
        </w:rPr>
        <w:t>7.5%</w:t>
      </w:r>
      <w:r w:rsidRPr="00332FD2">
        <w:rPr>
          <w:rFonts w:ascii="宋体" w:hAnsi="宋体" w:hint="eastAsia"/>
          <w:sz w:val="28"/>
          <w:szCs w:val="28"/>
        </w:rPr>
        <w:t>。</w:t>
      </w:r>
    </w:p>
    <w:p w:rsidR="009D28FF" w:rsidRPr="00332FD2" w:rsidRDefault="009D28FF" w:rsidP="009D28FF">
      <w:pPr>
        <w:ind w:firstLineChars="200" w:firstLine="560"/>
        <w:rPr>
          <w:rFonts w:ascii="宋体" w:hAnsi="宋体"/>
          <w:sz w:val="28"/>
          <w:szCs w:val="28"/>
        </w:rPr>
      </w:pPr>
      <w:r w:rsidRPr="00332FD2">
        <w:rPr>
          <w:rFonts w:ascii="宋体" w:hAnsi="宋体" w:hint="eastAsia"/>
          <w:sz w:val="28"/>
          <w:szCs w:val="28"/>
        </w:rPr>
        <w:lastRenderedPageBreak/>
        <w:t>一季度，全国规模以上工业增加值同比实际增长</w:t>
      </w:r>
      <w:r w:rsidRPr="00332FD2">
        <w:rPr>
          <w:rFonts w:ascii="宋体" w:hAnsi="宋体"/>
          <w:sz w:val="28"/>
          <w:szCs w:val="28"/>
        </w:rPr>
        <w:t>6.8%</w:t>
      </w:r>
      <w:r w:rsidRPr="00332FD2">
        <w:rPr>
          <w:rFonts w:ascii="宋体" w:hAnsi="宋体" w:hint="eastAsia"/>
          <w:sz w:val="28"/>
          <w:szCs w:val="28"/>
        </w:rPr>
        <w:t>，增速比</w:t>
      </w:r>
      <w:r w:rsidRPr="00332FD2">
        <w:rPr>
          <w:rFonts w:ascii="宋体" w:hAnsi="宋体"/>
          <w:sz w:val="28"/>
          <w:szCs w:val="28"/>
        </w:rPr>
        <w:t>1-2</w:t>
      </w:r>
      <w:r w:rsidRPr="00332FD2">
        <w:rPr>
          <w:rFonts w:ascii="宋体" w:hAnsi="宋体" w:hint="eastAsia"/>
          <w:sz w:val="28"/>
          <w:szCs w:val="28"/>
        </w:rPr>
        <w:t>月份回落</w:t>
      </w:r>
      <w:r w:rsidRPr="00332FD2">
        <w:rPr>
          <w:rFonts w:ascii="宋体" w:hAnsi="宋体"/>
          <w:sz w:val="28"/>
          <w:szCs w:val="28"/>
        </w:rPr>
        <w:t xml:space="preserve"> 0.4</w:t>
      </w:r>
      <w:r w:rsidRPr="00332FD2">
        <w:rPr>
          <w:rFonts w:ascii="宋体" w:hAnsi="宋体" w:hint="eastAsia"/>
          <w:sz w:val="28"/>
          <w:szCs w:val="28"/>
        </w:rPr>
        <w:t>个百分点，与上年同期持平。分经济类型看，国有控股企业增加值增长</w:t>
      </w:r>
      <w:r w:rsidRPr="00332FD2">
        <w:rPr>
          <w:rFonts w:ascii="宋体" w:hAnsi="宋体"/>
          <w:sz w:val="28"/>
          <w:szCs w:val="28"/>
        </w:rPr>
        <w:t>7.9%</w:t>
      </w:r>
      <w:r w:rsidRPr="00332FD2">
        <w:rPr>
          <w:rFonts w:ascii="宋体" w:hAnsi="宋体" w:hint="eastAsia"/>
          <w:sz w:val="28"/>
          <w:szCs w:val="28"/>
        </w:rPr>
        <w:t>，集体企业增长</w:t>
      </w:r>
      <w:r w:rsidRPr="00332FD2">
        <w:rPr>
          <w:rFonts w:ascii="宋体" w:hAnsi="宋体"/>
          <w:sz w:val="28"/>
          <w:szCs w:val="28"/>
        </w:rPr>
        <w:t>0.1%</w:t>
      </w:r>
      <w:r w:rsidRPr="00332FD2">
        <w:rPr>
          <w:rFonts w:ascii="宋体" w:hAnsi="宋体" w:hint="eastAsia"/>
          <w:sz w:val="28"/>
          <w:szCs w:val="28"/>
        </w:rPr>
        <w:t>，股份制企业增长</w:t>
      </w:r>
      <w:r w:rsidRPr="00332FD2">
        <w:rPr>
          <w:rFonts w:ascii="宋体" w:hAnsi="宋体"/>
          <w:sz w:val="28"/>
          <w:szCs w:val="28"/>
        </w:rPr>
        <w:t>7.0%</w:t>
      </w:r>
      <w:r w:rsidRPr="00332FD2">
        <w:rPr>
          <w:rFonts w:ascii="宋体" w:hAnsi="宋体" w:hint="eastAsia"/>
          <w:sz w:val="28"/>
          <w:szCs w:val="28"/>
        </w:rPr>
        <w:t>，外商及港澳台商投资企业增长</w:t>
      </w:r>
      <w:r w:rsidRPr="00332FD2">
        <w:rPr>
          <w:rFonts w:ascii="宋体" w:hAnsi="宋体"/>
          <w:sz w:val="28"/>
          <w:szCs w:val="28"/>
        </w:rPr>
        <w:t>5.5%</w:t>
      </w:r>
      <w:r w:rsidRPr="00332FD2">
        <w:rPr>
          <w:rFonts w:ascii="宋体" w:hAnsi="宋体" w:hint="eastAsia"/>
          <w:sz w:val="28"/>
          <w:szCs w:val="28"/>
        </w:rPr>
        <w:t>。分三大门类看，采矿业增加值同比增长</w:t>
      </w:r>
      <w:r w:rsidRPr="00332FD2">
        <w:rPr>
          <w:rFonts w:ascii="宋体" w:hAnsi="宋体"/>
          <w:sz w:val="28"/>
          <w:szCs w:val="28"/>
        </w:rPr>
        <w:t>0.9%</w:t>
      </w:r>
      <w:r w:rsidRPr="00332FD2">
        <w:rPr>
          <w:rFonts w:ascii="宋体" w:hAnsi="宋体" w:hint="eastAsia"/>
          <w:sz w:val="28"/>
          <w:szCs w:val="28"/>
        </w:rPr>
        <w:t>，制造业增长</w:t>
      </w:r>
      <w:r w:rsidRPr="00332FD2">
        <w:rPr>
          <w:rFonts w:ascii="宋体" w:hAnsi="宋体"/>
          <w:sz w:val="28"/>
          <w:szCs w:val="28"/>
        </w:rPr>
        <w:t>7.0%</w:t>
      </w:r>
      <w:r w:rsidRPr="00332FD2">
        <w:rPr>
          <w:rFonts w:ascii="宋体" w:hAnsi="宋体" w:hint="eastAsia"/>
          <w:sz w:val="28"/>
          <w:szCs w:val="28"/>
        </w:rPr>
        <w:t>，电力、热力、燃气及水生产和供应业增长</w:t>
      </w:r>
      <w:r w:rsidRPr="00332FD2">
        <w:rPr>
          <w:rFonts w:ascii="宋体" w:hAnsi="宋体"/>
          <w:sz w:val="28"/>
          <w:szCs w:val="28"/>
        </w:rPr>
        <w:t>10.8%</w:t>
      </w:r>
      <w:r w:rsidRPr="00332FD2">
        <w:rPr>
          <w:rFonts w:ascii="宋体" w:hAnsi="宋体" w:hint="eastAsia"/>
          <w:sz w:val="28"/>
          <w:szCs w:val="28"/>
        </w:rPr>
        <w:t>。</w:t>
      </w:r>
    </w:p>
    <w:p w:rsidR="009D28FF" w:rsidRPr="00332FD2" w:rsidRDefault="009D28FF" w:rsidP="009D28FF">
      <w:pPr>
        <w:ind w:firstLineChars="200" w:firstLine="560"/>
        <w:rPr>
          <w:rFonts w:ascii="宋体" w:hAnsi="宋体"/>
          <w:sz w:val="28"/>
          <w:szCs w:val="28"/>
        </w:rPr>
      </w:pPr>
      <w:r w:rsidRPr="00332FD2">
        <w:rPr>
          <w:rFonts w:ascii="宋体" w:hAnsi="宋体" w:hint="eastAsia"/>
          <w:sz w:val="28"/>
          <w:szCs w:val="28"/>
        </w:rPr>
        <w:t>一季度，全国服务业生产指数同比增长</w:t>
      </w:r>
      <w:r w:rsidRPr="00332FD2">
        <w:rPr>
          <w:rFonts w:ascii="宋体" w:hAnsi="宋体"/>
          <w:sz w:val="28"/>
          <w:szCs w:val="28"/>
        </w:rPr>
        <w:t>8.1%</w:t>
      </w:r>
      <w:r w:rsidRPr="00332FD2">
        <w:rPr>
          <w:rFonts w:ascii="宋体" w:hAnsi="宋体" w:hint="eastAsia"/>
          <w:sz w:val="28"/>
          <w:szCs w:val="28"/>
        </w:rPr>
        <w:t>，增速比</w:t>
      </w:r>
      <w:r w:rsidRPr="00332FD2">
        <w:rPr>
          <w:rFonts w:ascii="宋体" w:hAnsi="宋体"/>
          <w:sz w:val="28"/>
          <w:szCs w:val="28"/>
        </w:rPr>
        <w:t>1-2</w:t>
      </w:r>
      <w:r w:rsidRPr="00332FD2">
        <w:rPr>
          <w:rFonts w:ascii="宋体" w:hAnsi="宋体" w:hint="eastAsia"/>
          <w:sz w:val="28"/>
          <w:szCs w:val="28"/>
        </w:rPr>
        <w:t>月份加快</w:t>
      </w:r>
      <w:r w:rsidRPr="00332FD2">
        <w:rPr>
          <w:rFonts w:ascii="宋体" w:hAnsi="宋体"/>
          <w:sz w:val="28"/>
          <w:szCs w:val="28"/>
        </w:rPr>
        <w:t>0.1</w:t>
      </w:r>
      <w:r w:rsidRPr="00332FD2">
        <w:rPr>
          <w:rFonts w:ascii="宋体" w:hAnsi="宋体" w:hint="eastAsia"/>
          <w:sz w:val="28"/>
          <w:szCs w:val="28"/>
        </w:rPr>
        <w:t>个百分点，比上年同期回落</w:t>
      </w:r>
      <w:r w:rsidRPr="00332FD2">
        <w:rPr>
          <w:rFonts w:ascii="宋体" w:hAnsi="宋体"/>
          <w:sz w:val="28"/>
          <w:szCs w:val="28"/>
        </w:rPr>
        <w:t>0.2</w:t>
      </w:r>
      <w:r w:rsidRPr="00332FD2">
        <w:rPr>
          <w:rFonts w:ascii="宋体" w:hAnsi="宋体" w:hint="eastAsia"/>
          <w:sz w:val="28"/>
          <w:szCs w:val="28"/>
        </w:rPr>
        <w:t>个百分点。其中，信息传输、软件和信息技术服务业，租赁和商务服务业保持较快增长。</w:t>
      </w:r>
    </w:p>
    <w:p w:rsidR="009D28FF" w:rsidRPr="00332FD2" w:rsidRDefault="009D28FF" w:rsidP="009D28FF">
      <w:pPr>
        <w:rPr>
          <w:rFonts w:ascii="宋体" w:hAnsi="宋体"/>
          <w:sz w:val="28"/>
          <w:szCs w:val="28"/>
        </w:rPr>
      </w:pPr>
    </w:p>
    <w:p w:rsidR="009D28FF" w:rsidRPr="00332FD2" w:rsidRDefault="009D28FF" w:rsidP="009D28FF">
      <w:pPr>
        <w:rPr>
          <w:rFonts w:ascii="宋体" w:hAnsi="宋体"/>
          <w:sz w:val="28"/>
          <w:szCs w:val="28"/>
        </w:rPr>
      </w:pPr>
      <w:r w:rsidRPr="00332FD2">
        <w:rPr>
          <w:noProof/>
          <w:sz w:val="28"/>
          <w:szCs w:val="28"/>
        </w:rPr>
        <w:drawing>
          <wp:inline distT="0" distB="0" distL="0" distR="0">
            <wp:extent cx="4895850" cy="2762250"/>
            <wp:effectExtent l="0" t="0" r="0" b="0"/>
            <wp:docPr id="7" name="图表 1">
              <a:extLst xmlns:a="http://schemas.openxmlformats.org/drawingml/2006/main">
                <a:ext uri="{FF2B5EF4-FFF2-40B4-BE49-F238E27FC236}">
                  <a16:creationId xmlns:a16="http://schemas.microsoft.com/office/drawing/2014/main" id="{082E4C92-72AC-4D62-8632-26B7A1AB03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D28FF" w:rsidRPr="00332FD2" w:rsidRDefault="009D28FF" w:rsidP="009D28FF">
      <w:pPr>
        <w:spacing w:line="360" w:lineRule="auto"/>
        <w:rPr>
          <w:rFonts w:ascii="宋体" w:hAnsi="宋体"/>
          <w:b/>
          <w:sz w:val="28"/>
          <w:szCs w:val="28"/>
        </w:rPr>
      </w:pPr>
    </w:p>
    <w:p w:rsidR="009D28FF" w:rsidRPr="00332FD2" w:rsidRDefault="009D28FF" w:rsidP="009D28FF">
      <w:pPr>
        <w:spacing w:line="360" w:lineRule="auto"/>
        <w:rPr>
          <w:rFonts w:ascii="宋体" w:hAnsi="宋体"/>
          <w:b/>
          <w:sz w:val="28"/>
          <w:szCs w:val="28"/>
        </w:rPr>
      </w:pPr>
      <w:r w:rsidRPr="00332FD2">
        <w:rPr>
          <w:rFonts w:ascii="宋体" w:hAnsi="宋体"/>
          <w:b/>
          <w:sz w:val="28"/>
          <w:szCs w:val="28"/>
        </w:rPr>
        <w:t>2.</w:t>
      </w:r>
      <w:r w:rsidRPr="00332FD2">
        <w:rPr>
          <w:rFonts w:ascii="宋体" w:hAnsi="宋体" w:hint="eastAsia"/>
          <w:b/>
          <w:sz w:val="28"/>
          <w:szCs w:val="28"/>
        </w:rPr>
        <w:t>居民消费价格微升</w:t>
      </w:r>
    </w:p>
    <w:p w:rsidR="009D28FF" w:rsidRPr="00332FD2" w:rsidRDefault="009D28FF" w:rsidP="009D28FF">
      <w:pPr>
        <w:rPr>
          <w:rFonts w:ascii="宋体" w:hAnsi="宋体"/>
          <w:sz w:val="28"/>
          <w:szCs w:val="28"/>
        </w:rPr>
      </w:pPr>
    </w:p>
    <w:p w:rsidR="009D28FF" w:rsidRPr="00332FD2" w:rsidRDefault="009D28FF" w:rsidP="009D28FF">
      <w:pPr>
        <w:ind w:firstLineChars="200" w:firstLine="560"/>
        <w:rPr>
          <w:rFonts w:ascii="宋体" w:hAnsi="宋体"/>
          <w:sz w:val="28"/>
          <w:szCs w:val="28"/>
        </w:rPr>
      </w:pPr>
      <w:r w:rsidRPr="00332FD2">
        <w:rPr>
          <w:rFonts w:ascii="宋体" w:hAnsi="宋体" w:hint="eastAsia"/>
          <w:sz w:val="28"/>
          <w:szCs w:val="28"/>
        </w:rPr>
        <w:t>一季度，全国居民消费价格同比上涨</w:t>
      </w:r>
      <w:r w:rsidRPr="00332FD2">
        <w:rPr>
          <w:rFonts w:ascii="宋体" w:hAnsi="宋体"/>
          <w:sz w:val="28"/>
          <w:szCs w:val="28"/>
        </w:rPr>
        <w:t>2.1%</w:t>
      </w:r>
      <w:r w:rsidRPr="00332FD2">
        <w:rPr>
          <w:rFonts w:ascii="宋体" w:hAnsi="宋体" w:hint="eastAsia"/>
          <w:sz w:val="28"/>
          <w:szCs w:val="28"/>
        </w:rPr>
        <w:t>，涨幅比</w:t>
      </w:r>
      <w:r w:rsidRPr="00332FD2">
        <w:rPr>
          <w:rFonts w:ascii="宋体" w:hAnsi="宋体"/>
          <w:sz w:val="28"/>
          <w:szCs w:val="28"/>
        </w:rPr>
        <w:t>1-2</w:t>
      </w:r>
      <w:r w:rsidRPr="00332FD2">
        <w:rPr>
          <w:rFonts w:ascii="宋体" w:hAnsi="宋体" w:hint="eastAsia"/>
          <w:sz w:val="28"/>
          <w:szCs w:val="28"/>
        </w:rPr>
        <w:t>月份回落</w:t>
      </w:r>
      <w:r w:rsidRPr="00332FD2">
        <w:rPr>
          <w:rFonts w:ascii="宋体" w:hAnsi="宋体"/>
          <w:sz w:val="28"/>
          <w:szCs w:val="28"/>
        </w:rPr>
        <w:t>0.1</w:t>
      </w:r>
      <w:r w:rsidRPr="00332FD2">
        <w:rPr>
          <w:rFonts w:ascii="宋体" w:hAnsi="宋体" w:hint="eastAsia"/>
          <w:sz w:val="28"/>
          <w:szCs w:val="28"/>
        </w:rPr>
        <w:t>个百分点，比上年同期扩大</w:t>
      </w:r>
      <w:r w:rsidRPr="00332FD2">
        <w:rPr>
          <w:rFonts w:ascii="宋体" w:hAnsi="宋体"/>
          <w:sz w:val="28"/>
          <w:szCs w:val="28"/>
        </w:rPr>
        <w:t>0.7</w:t>
      </w:r>
      <w:r w:rsidRPr="00332FD2">
        <w:rPr>
          <w:rFonts w:ascii="宋体" w:hAnsi="宋体" w:hint="eastAsia"/>
          <w:sz w:val="28"/>
          <w:szCs w:val="28"/>
        </w:rPr>
        <w:t>个百分点。其中，城市上涨</w:t>
      </w:r>
      <w:r w:rsidRPr="00332FD2">
        <w:rPr>
          <w:rFonts w:ascii="宋体" w:hAnsi="宋体"/>
          <w:sz w:val="28"/>
          <w:szCs w:val="28"/>
        </w:rPr>
        <w:lastRenderedPageBreak/>
        <w:t>2.2%</w:t>
      </w:r>
      <w:r w:rsidRPr="00332FD2">
        <w:rPr>
          <w:rFonts w:ascii="宋体" w:hAnsi="宋体" w:hint="eastAsia"/>
          <w:sz w:val="28"/>
          <w:szCs w:val="28"/>
        </w:rPr>
        <w:t>，农村上涨</w:t>
      </w:r>
      <w:r w:rsidRPr="00332FD2">
        <w:rPr>
          <w:rFonts w:ascii="宋体" w:hAnsi="宋体"/>
          <w:sz w:val="28"/>
          <w:szCs w:val="28"/>
        </w:rPr>
        <w:t>2.0%</w:t>
      </w:r>
      <w:r w:rsidRPr="00332FD2">
        <w:rPr>
          <w:rFonts w:ascii="宋体" w:hAnsi="宋体" w:hint="eastAsia"/>
          <w:sz w:val="28"/>
          <w:szCs w:val="28"/>
        </w:rPr>
        <w:t>。分类别看，食品烟酒价格同比上涨</w:t>
      </w:r>
      <w:r w:rsidRPr="00332FD2">
        <w:rPr>
          <w:rFonts w:ascii="宋体" w:hAnsi="宋体"/>
          <w:sz w:val="28"/>
          <w:szCs w:val="28"/>
        </w:rPr>
        <w:t>1.9%</w:t>
      </w:r>
      <w:r w:rsidRPr="00332FD2">
        <w:rPr>
          <w:rFonts w:ascii="宋体" w:hAnsi="宋体" w:hint="eastAsia"/>
          <w:sz w:val="28"/>
          <w:szCs w:val="28"/>
        </w:rPr>
        <w:t>，衣着上涨</w:t>
      </w:r>
      <w:r w:rsidRPr="00332FD2">
        <w:rPr>
          <w:rFonts w:ascii="宋体" w:hAnsi="宋体"/>
          <w:sz w:val="28"/>
          <w:szCs w:val="28"/>
        </w:rPr>
        <w:t>1.2%</w:t>
      </w:r>
      <w:r w:rsidRPr="00332FD2">
        <w:rPr>
          <w:rFonts w:ascii="宋体" w:hAnsi="宋体" w:hint="eastAsia"/>
          <w:sz w:val="28"/>
          <w:szCs w:val="28"/>
        </w:rPr>
        <w:t>，居住上涨</w:t>
      </w:r>
      <w:r w:rsidRPr="00332FD2">
        <w:rPr>
          <w:rFonts w:ascii="宋体" w:hAnsi="宋体"/>
          <w:sz w:val="28"/>
          <w:szCs w:val="28"/>
        </w:rPr>
        <w:t>2.4%</w:t>
      </w:r>
      <w:r w:rsidRPr="00332FD2">
        <w:rPr>
          <w:rFonts w:ascii="宋体" w:hAnsi="宋体" w:hint="eastAsia"/>
          <w:sz w:val="28"/>
          <w:szCs w:val="28"/>
        </w:rPr>
        <w:t>，生活用品及服务上涨</w:t>
      </w:r>
      <w:r w:rsidRPr="00332FD2">
        <w:rPr>
          <w:rFonts w:ascii="宋体" w:hAnsi="宋体"/>
          <w:sz w:val="28"/>
          <w:szCs w:val="28"/>
        </w:rPr>
        <w:t>1.6%</w:t>
      </w:r>
      <w:r w:rsidRPr="00332FD2">
        <w:rPr>
          <w:rFonts w:ascii="宋体" w:hAnsi="宋体" w:hint="eastAsia"/>
          <w:sz w:val="28"/>
          <w:szCs w:val="28"/>
        </w:rPr>
        <w:t>，交通和通信上涨</w:t>
      </w:r>
      <w:r w:rsidRPr="00332FD2">
        <w:rPr>
          <w:rFonts w:ascii="宋体" w:hAnsi="宋体"/>
          <w:sz w:val="28"/>
          <w:szCs w:val="28"/>
        </w:rPr>
        <w:t>0.7%</w:t>
      </w:r>
      <w:r w:rsidRPr="00332FD2">
        <w:rPr>
          <w:rFonts w:ascii="宋体" w:hAnsi="宋体" w:hint="eastAsia"/>
          <w:sz w:val="28"/>
          <w:szCs w:val="28"/>
        </w:rPr>
        <w:t>，教育文化和娱乐上涨</w:t>
      </w:r>
      <w:r w:rsidRPr="00332FD2">
        <w:rPr>
          <w:rFonts w:ascii="宋体" w:hAnsi="宋体"/>
          <w:sz w:val="28"/>
          <w:szCs w:val="28"/>
        </w:rPr>
        <w:t>2.2%</w:t>
      </w:r>
      <w:r w:rsidRPr="00332FD2">
        <w:rPr>
          <w:rFonts w:ascii="宋体" w:hAnsi="宋体" w:hint="eastAsia"/>
          <w:sz w:val="28"/>
          <w:szCs w:val="28"/>
        </w:rPr>
        <w:t>，医疗保健上涨</w:t>
      </w:r>
      <w:r w:rsidRPr="00332FD2">
        <w:rPr>
          <w:rFonts w:ascii="宋体" w:hAnsi="宋体"/>
          <w:sz w:val="28"/>
          <w:szCs w:val="28"/>
        </w:rPr>
        <w:t>6.0%</w:t>
      </w:r>
      <w:r w:rsidRPr="00332FD2">
        <w:rPr>
          <w:rFonts w:ascii="宋体" w:hAnsi="宋体" w:hint="eastAsia"/>
          <w:sz w:val="28"/>
          <w:szCs w:val="28"/>
        </w:rPr>
        <w:t>，其他用品和服务上涨</w:t>
      </w:r>
      <w:r w:rsidRPr="00332FD2">
        <w:rPr>
          <w:rFonts w:ascii="宋体" w:hAnsi="宋体"/>
          <w:sz w:val="28"/>
          <w:szCs w:val="28"/>
        </w:rPr>
        <w:t>1.4%</w:t>
      </w:r>
      <w:r w:rsidRPr="00332FD2">
        <w:rPr>
          <w:rFonts w:ascii="宋体" w:hAnsi="宋体" w:hint="eastAsia"/>
          <w:sz w:val="28"/>
          <w:szCs w:val="28"/>
        </w:rPr>
        <w:t>。在食品烟酒价格中，粮食价格上涨</w:t>
      </w:r>
      <w:r w:rsidRPr="00332FD2">
        <w:rPr>
          <w:rFonts w:ascii="宋体" w:hAnsi="宋体"/>
          <w:sz w:val="28"/>
          <w:szCs w:val="28"/>
        </w:rPr>
        <w:t>1.1%</w:t>
      </w:r>
      <w:r w:rsidRPr="00332FD2">
        <w:rPr>
          <w:rFonts w:ascii="宋体" w:hAnsi="宋体" w:hint="eastAsia"/>
          <w:sz w:val="28"/>
          <w:szCs w:val="28"/>
        </w:rPr>
        <w:t>，猪肉价格下降</w:t>
      </w:r>
      <w:r w:rsidRPr="00332FD2">
        <w:rPr>
          <w:rFonts w:ascii="宋体" w:hAnsi="宋体"/>
          <w:sz w:val="28"/>
          <w:szCs w:val="28"/>
        </w:rPr>
        <w:t>9.9%</w:t>
      </w:r>
      <w:r w:rsidRPr="00332FD2">
        <w:rPr>
          <w:rFonts w:ascii="宋体" w:hAnsi="宋体" w:hint="eastAsia"/>
          <w:sz w:val="28"/>
          <w:szCs w:val="28"/>
        </w:rPr>
        <w:t>，鲜菜价格上涨</w:t>
      </w:r>
      <w:r w:rsidRPr="00332FD2">
        <w:rPr>
          <w:rFonts w:ascii="宋体" w:hAnsi="宋体"/>
          <w:sz w:val="28"/>
          <w:szCs w:val="28"/>
        </w:rPr>
        <w:t>6.6%</w:t>
      </w:r>
      <w:r w:rsidRPr="00332FD2">
        <w:rPr>
          <w:rFonts w:ascii="宋体" w:hAnsi="宋体" w:hint="eastAsia"/>
          <w:sz w:val="28"/>
          <w:szCs w:val="28"/>
        </w:rPr>
        <w:t>。</w:t>
      </w:r>
    </w:p>
    <w:p w:rsidR="009D28FF" w:rsidRPr="00332FD2" w:rsidRDefault="009D28FF" w:rsidP="009D28FF">
      <w:pPr>
        <w:ind w:firstLineChars="200" w:firstLine="560"/>
        <w:rPr>
          <w:rFonts w:ascii="宋体" w:hAnsi="宋体"/>
          <w:sz w:val="28"/>
          <w:szCs w:val="28"/>
        </w:rPr>
      </w:pPr>
      <w:r w:rsidRPr="00332FD2">
        <w:rPr>
          <w:rFonts w:ascii="宋体" w:hAnsi="宋体" w:hint="eastAsia"/>
          <w:sz w:val="28"/>
          <w:szCs w:val="28"/>
        </w:rPr>
        <w:t>一季度，全国工业生产者出厂价格同比上涨</w:t>
      </w:r>
      <w:r w:rsidRPr="00332FD2">
        <w:rPr>
          <w:rFonts w:ascii="宋体" w:hAnsi="宋体"/>
          <w:sz w:val="28"/>
          <w:szCs w:val="28"/>
        </w:rPr>
        <w:t>3.7%</w:t>
      </w:r>
      <w:r w:rsidRPr="00332FD2">
        <w:rPr>
          <w:rFonts w:ascii="宋体" w:hAnsi="宋体" w:hint="eastAsia"/>
          <w:sz w:val="28"/>
          <w:szCs w:val="28"/>
        </w:rPr>
        <w:t>，涨幅比</w:t>
      </w:r>
      <w:r w:rsidRPr="00332FD2">
        <w:rPr>
          <w:rFonts w:ascii="宋体" w:hAnsi="宋体"/>
          <w:sz w:val="28"/>
          <w:szCs w:val="28"/>
        </w:rPr>
        <w:t>1-2</w:t>
      </w:r>
      <w:r w:rsidRPr="00332FD2">
        <w:rPr>
          <w:rFonts w:ascii="宋体" w:hAnsi="宋体" w:hint="eastAsia"/>
          <w:sz w:val="28"/>
          <w:szCs w:val="28"/>
        </w:rPr>
        <w:t>月份回落</w:t>
      </w:r>
      <w:r w:rsidRPr="00332FD2">
        <w:rPr>
          <w:rFonts w:ascii="宋体" w:hAnsi="宋体"/>
          <w:sz w:val="28"/>
          <w:szCs w:val="28"/>
        </w:rPr>
        <w:t>0.3</w:t>
      </w:r>
      <w:r w:rsidRPr="00332FD2">
        <w:rPr>
          <w:rFonts w:ascii="宋体" w:hAnsi="宋体" w:hint="eastAsia"/>
          <w:sz w:val="28"/>
          <w:szCs w:val="28"/>
        </w:rPr>
        <w:t>个百分点，比上年同期回落</w:t>
      </w:r>
      <w:r w:rsidRPr="00332FD2">
        <w:rPr>
          <w:rFonts w:ascii="宋体" w:hAnsi="宋体"/>
          <w:sz w:val="28"/>
          <w:szCs w:val="28"/>
        </w:rPr>
        <w:t>3.7</w:t>
      </w:r>
      <w:r w:rsidRPr="00332FD2">
        <w:rPr>
          <w:rFonts w:ascii="宋体" w:hAnsi="宋体" w:hint="eastAsia"/>
          <w:sz w:val="28"/>
          <w:szCs w:val="28"/>
        </w:rPr>
        <w:t>个百分点。一季度，全国工业生产者购进价格同比上涨</w:t>
      </w:r>
      <w:r w:rsidRPr="00332FD2">
        <w:rPr>
          <w:rFonts w:ascii="宋体" w:hAnsi="宋体"/>
          <w:sz w:val="28"/>
          <w:szCs w:val="28"/>
        </w:rPr>
        <w:t>4.4%</w:t>
      </w:r>
      <w:r w:rsidRPr="00332FD2">
        <w:rPr>
          <w:rFonts w:ascii="宋体" w:hAnsi="宋体" w:hint="eastAsia"/>
          <w:sz w:val="28"/>
          <w:szCs w:val="28"/>
        </w:rPr>
        <w:t>。</w:t>
      </w:r>
    </w:p>
    <w:p w:rsidR="009D28FF" w:rsidRPr="00332FD2" w:rsidRDefault="009D28FF" w:rsidP="009D28FF">
      <w:pPr>
        <w:rPr>
          <w:rFonts w:ascii="宋体" w:hAnsi="宋体"/>
          <w:sz w:val="28"/>
          <w:szCs w:val="28"/>
        </w:rPr>
      </w:pPr>
    </w:p>
    <w:p w:rsidR="009D28FF" w:rsidRPr="00332FD2" w:rsidRDefault="009D28FF" w:rsidP="009D28FF">
      <w:pPr>
        <w:rPr>
          <w:rFonts w:ascii="宋体" w:hAnsi="宋体"/>
          <w:sz w:val="28"/>
          <w:szCs w:val="28"/>
        </w:rPr>
      </w:pPr>
      <w:r w:rsidRPr="00332FD2">
        <w:rPr>
          <w:noProof/>
          <w:sz w:val="28"/>
          <w:szCs w:val="28"/>
        </w:rPr>
        <w:drawing>
          <wp:inline distT="0" distB="0" distL="0" distR="0">
            <wp:extent cx="5274310" cy="2562225"/>
            <wp:effectExtent l="0" t="0" r="2540" b="9525"/>
            <wp:docPr id="8" name="图表 3">
              <a:extLst xmlns:a="http://schemas.openxmlformats.org/drawingml/2006/main">
                <a:ext uri="{FF2B5EF4-FFF2-40B4-BE49-F238E27FC236}">
                  <a16:creationId xmlns:a16="http://schemas.microsoft.com/office/drawing/2014/main" id="{4535D98A-F7AC-451F-B133-96E9EE740F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D28FF" w:rsidRPr="00332FD2" w:rsidRDefault="009D28FF" w:rsidP="009D28FF">
      <w:pPr>
        <w:spacing w:line="360" w:lineRule="auto"/>
        <w:rPr>
          <w:rFonts w:ascii="宋体" w:hAnsi="宋体"/>
          <w:b/>
          <w:sz w:val="28"/>
          <w:szCs w:val="28"/>
        </w:rPr>
      </w:pPr>
      <w:r w:rsidRPr="00332FD2">
        <w:rPr>
          <w:rFonts w:ascii="宋体" w:hAnsi="宋体"/>
          <w:b/>
          <w:sz w:val="28"/>
          <w:szCs w:val="28"/>
        </w:rPr>
        <w:t>3.</w:t>
      </w:r>
      <w:r w:rsidRPr="00332FD2">
        <w:rPr>
          <w:rFonts w:ascii="宋体" w:hAnsi="宋体" w:hint="eastAsia"/>
          <w:b/>
          <w:sz w:val="28"/>
          <w:szCs w:val="28"/>
        </w:rPr>
        <w:t>就业率总体稳定</w:t>
      </w:r>
    </w:p>
    <w:p w:rsidR="009D28FF" w:rsidRPr="00332FD2" w:rsidRDefault="009D28FF" w:rsidP="009D28FF">
      <w:pPr>
        <w:rPr>
          <w:rFonts w:ascii="宋体" w:hAnsi="宋体"/>
          <w:sz w:val="28"/>
          <w:szCs w:val="28"/>
        </w:rPr>
      </w:pPr>
    </w:p>
    <w:p w:rsidR="009D28FF" w:rsidRPr="00332FD2" w:rsidRDefault="009D28FF" w:rsidP="009D28FF">
      <w:pPr>
        <w:ind w:firstLineChars="200" w:firstLine="560"/>
        <w:rPr>
          <w:rFonts w:ascii="宋体" w:hAnsi="宋体"/>
          <w:sz w:val="28"/>
          <w:szCs w:val="28"/>
        </w:rPr>
      </w:pPr>
      <w:r w:rsidRPr="00332FD2">
        <w:rPr>
          <w:rFonts w:ascii="宋体" w:hAnsi="宋体" w:hint="eastAsia"/>
          <w:sz w:val="28"/>
          <w:szCs w:val="28"/>
        </w:rPr>
        <w:t>1-</w:t>
      </w:r>
      <w:r w:rsidRPr="00332FD2">
        <w:rPr>
          <w:rFonts w:ascii="宋体" w:hAnsi="宋体"/>
          <w:sz w:val="28"/>
          <w:szCs w:val="28"/>
        </w:rPr>
        <w:t>3</w:t>
      </w:r>
      <w:r w:rsidRPr="00332FD2">
        <w:rPr>
          <w:rFonts w:ascii="宋体" w:hAnsi="宋体" w:hint="eastAsia"/>
          <w:sz w:val="28"/>
          <w:szCs w:val="28"/>
        </w:rPr>
        <w:t>月，全国城镇调查失业率分别为</w:t>
      </w:r>
      <w:r w:rsidRPr="00332FD2">
        <w:rPr>
          <w:rFonts w:ascii="宋体" w:hAnsi="宋体"/>
          <w:sz w:val="28"/>
          <w:szCs w:val="28"/>
        </w:rPr>
        <w:t>5.0%</w:t>
      </w:r>
      <w:r w:rsidRPr="00332FD2">
        <w:rPr>
          <w:rFonts w:ascii="宋体" w:hAnsi="宋体" w:hint="eastAsia"/>
          <w:sz w:val="28"/>
          <w:szCs w:val="28"/>
        </w:rPr>
        <w:t>、</w:t>
      </w:r>
      <w:r w:rsidRPr="00332FD2">
        <w:rPr>
          <w:rFonts w:ascii="宋体" w:hAnsi="宋体"/>
          <w:sz w:val="28"/>
          <w:szCs w:val="28"/>
        </w:rPr>
        <w:t>5.0%</w:t>
      </w:r>
      <w:r w:rsidRPr="00332FD2">
        <w:rPr>
          <w:rFonts w:ascii="宋体" w:hAnsi="宋体" w:hint="eastAsia"/>
          <w:sz w:val="28"/>
          <w:szCs w:val="28"/>
        </w:rPr>
        <w:t>和</w:t>
      </w:r>
      <w:r w:rsidRPr="00332FD2">
        <w:rPr>
          <w:rFonts w:ascii="宋体" w:hAnsi="宋体"/>
          <w:sz w:val="28"/>
          <w:szCs w:val="28"/>
        </w:rPr>
        <w:t>5.1%</w:t>
      </w:r>
      <w:r w:rsidRPr="00332FD2">
        <w:rPr>
          <w:rFonts w:ascii="宋体" w:hAnsi="宋体" w:hint="eastAsia"/>
          <w:sz w:val="28"/>
          <w:szCs w:val="28"/>
        </w:rPr>
        <w:t>，分别比上年同月下降</w:t>
      </w:r>
      <w:r w:rsidRPr="00332FD2">
        <w:rPr>
          <w:rFonts w:ascii="宋体" w:hAnsi="宋体"/>
          <w:sz w:val="28"/>
          <w:szCs w:val="28"/>
        </w:rPr>
        <w:t>0.2</w:t>
      </w:r>
      <w:r w:rsidRPr="00332FD2">
        <w:rPr>
          <w:rFonts w:ascii="宋体" w:hAnsi="宋体" w:hint="eastAsia"/>
          <w:sz w:val="28"/>
          <w:szCs w:val="28"/>
        </w:rPr>
        <w:t>、</w:t>
      </w:r>
      <w:r w:rsidRPr="00332FD2">
        <w:rPr>
          <w:rFonts w:ascii="宋体" w:hAnsi="宋体"/>
          <w:sz w:val="28"/>
          <w:szCs w:val="28"/>
        </w:rPr>
        <w:t>0.4</w:t>
      </w:r>
      <w:r w:rsidRPr="00332FD2">
        <w:rPr>
          <w:rFonts w:ascii="宋体" w:hAnsi="宋体" w:hint="eastAsia"/>
          <w:sz w:val="28"/>
          <w:szCs w:val="28"/>
        </w:rPr>
        <w:t>和</w:t>
      </w:r>
      <w:r w:rsidRPr="00332FD2">
        <w:rPr>
          <w:rFonts w:ascii="宋体" w:hAnsi="宋体"/>
          <w:sz w:val="28"/>
          <w:szCs w:val="28"/>
        </w:rPr>
        <w:t>0.1</w:t>
      </w:r>
      <w:r w:rsidRPr="00332FD2">
        <w:rPr>
          <w:rFonts w:ascii="宋体" w:hAnsi="宋体" w:hint="eastAsia"/>
          <w:sz w:val="28"/>
          <w:szCs w:val="28"/>
        </w:rPr>
        <w:t>个百分点；</w:t>
      </w:r>
      <w:r w:rsidRPr="00332FD2">
        <w:rPr>
          <w:rFonts w:ascii="宋体" w:hAnsi="宋体"/>
          <w:sz w:val="28"/>
          <w:szCs w:val="28"/>
        </w:rPr>
        <w:t>31</w:t>
      </w:r>
      <w:r w:rsidRPr="00332FD2">
        <w:rPr>
          <w:rFonts w:ascii="宋体" w:hAnsi="宋体" w:hint="eastAsia"/>
          <w:sz w:val="28"/>
          <w:szCs w:val="28"/>
        </w:rPr>
        <w:t>个大城市城镇调查失业率分别为</w:t>
      </w:r>
      <w:r w:rsidRPr="00332FD2">
        <w:rPr>
          <w:rFonts w:ascii="宋体" w:hAnsi="宋体"/>
          <w:sz w:val="28"/>
          <w:szCs w:val="28"/>
        </w:rPr>
        <w:t>4.9%</w:t>
      </w:r>
      <w:r w:rsidRPr="00332FD2">
        <w:rPr>
          <w:rFonts w:ascii="宋体" w:hAnsi="宋体" w:hint="eastAsia"/>
          <w:sz w:val="28"/>
          <w:szCs w:val="28"/>
        </w:rPr>
        <w:t>、</w:t>
      </w:r>
      <w:r w:rsidRPr="00332FD2">
        <w:rPr>
          <w:rFonts w:ascii="宋体" w:hAnsi="宋体"/>
          <w:sz w:val="28"/>
          <w:szCs w:val="28"/>
        </w:rPr>
        <w:t>4.8%</w:t>
      </w:r>
      <w:r w:rsidRPr="00332FD2">
        <w:rPr>
          <w:rFonts w:ascii="宋体" w:hAnsi="宋体" w:hint="eastAsia"/>
          <w:sz w:val="28"/>
          <w:szCs w:val="28"/>
        </w:rPr>
        <w:t>和</w:t>
      </w:r>
      <w:r w:rsidRPr="00332FD2">
        <w:rPr>
          <w:rFonts w:ascii="宋体" w:hAnsi="宋体"/>
          <w:sz w:val="28"/>
          <w:szCs w:val="28"/>
        </w:rPr>
        <w:t>4.9%</w:t>
      </w:r>
      <w:r w:rsidRPr="00332FD2">
        <w:rPr>
          <w:rFonts w:ascii="宋体" w:hAnsi="宋体" w:hint="eastAsia"/>
          <w:sz w:val="28"/>
          <w:szCs w:val="28"/>
        </w:rPr>
        <w:t>，分别比上年同月下降</w:t>
      </w:r>
      <w:r w:rsidRPr="00332FD2">
        <w:rPr>
          <w:rFonts w:ascii="宋体" w:hAnsi="宋体"/>
          <w:sz w:val="28"/>
          <w:szCs w:val="28"/>
        </w:rPr>
        <w:t>0.1</w:t>
      </w:r>
      <w:r w:rsidRPr="00332FD2">
        <w:rPr>
          <w:rFonts w:ascii="宋体" w:hAnsi="宋体" w:hint="eastAsia"/>
          <w:sz w:val="28"/>
          <w:szCs w:val="28"/>
        </w:rPr>
        <w:t>、</w:t>
      </w:r>
      <w:r w:rsidRPr="00332FD2">
        <w:rPr>
          <w:rFonts w:ascii="宋体" w:hAnsi="宋体"/>
          <w:sz w:val="28"/>
          <w:szCs w:val="28"/>
        </w:rPr>
        <w:t>0.2</w:t>
      </w:r>
      <w:r w:rsidRPr="00332FD2">
        <w:rPr>
          <w:rFonts w:ascii="宋体" w:hAnsi="宋体" w:hint="eastAsia"/>
          <w:sz w:val="28"/>
          <w:szCs w:val="28"/>
        </w:rPr>
        <w:t>和</w:t>
      </w:r>
      <w:r w:rsidRPr="00332FD2">
        <w:rPr>
          <w:rFonts w:ascii="宋体" w:hAnsi="宋体"/>
          <w:sz w:val="28"/>
          <w:szCs w:val="28"/>
        </w:rPr>
        <w:t>0.1</w:t>
      </w:r>
      <w:r w:rsidRPr="00332FD2">
        <w:rPr>
          <w:rFonts w:ascii="宋体" w:hAnsi="宋体" w:hint="eastAsia"/>
          <w:sz w:val="28"/>
          <w:szCs w:val="28"/>
        </w:rPr>
        <w:t>个百分点。一季度末，外出务工农村劳动力总量</w:t>
      </w:r>
      <w:r w:rsidRPr="00332FD2">
        <w:rPr>
          <w:rFonts w:ascii="宋体" w:hAnsi="宋体"/>
          <w:sz w:val="28"/>
          <w:szCs w:val="28"/>
        </w:rPr>
        <w:t>17441</w:t>
      </w:r>
      <w:r w:rsidRPr="00332FD2">
        <w:rPr>
          <w:rFonts w:ascii="宋体" w:hAnsi="宋体" w:hint="eastAsia"/>
          <w:sz w:val="28"/>
          <w:szCs w:val="28"/>
        </w:rPr>
        <w:t>万人，比上年同期增加</w:t>
      </w:r>
      <w:r w:rsidRPr="00332FD2">
        <w:rPr>
          <w:rFonts w:ascii="宋体" w:hAnsi="宋体"/>
          <w:sz w:val="28"/>
          <w:szCs w:val="28"/>
        </w:rPr>
        <w:t>188</w:t>
      </w:r>
      <w:r w:rsidRPr="00332FD2">
        <w:rPr>
          <w:rFonts w:ascii="宋体" w:hAnsi="宋体" w:hint="eastAsia"/>
          <w:sz w:val="28"/>
          <w:szCs w:val="28"/>
        </w:rPr>
        <w:t>万人，增长</w:t>
      </w:r>
      <w:r w:rsidRPr="00332FD2">
        <w:rPr>
          <w:rFonts w:ascii="宋体" w:hAnsi="宋体"/>
          <w:sz w:val="28"/>
          <w:szCs w:val="28"/>
        </w:rPr>
        <w:t>1.1%</w:t>
      </w:r>
      <w:r w:rsidRPr="00332FD2">
        <w:rPr>
          <w:rFonts w:ascii="宋体" w:hAnsi="宋体" w:hint="eastAsia"/>
          <w:sz w:val="28"/>
          <w:szCs w:val="28"/>
        </w:rPr>
        <w:t>。</w:t>
      </w:r>
    </w:p>
    <w:p w:rsidR="009D28FF" w:rsidRPr="00332FD2" w:rsidRDefault="009D28FF" w:rsidP="009D28FF">
      <w:pPr>
        <w:rPr>
          <w:rFonts w:ascii="宋体" w:hAnsi="宋体"/>
          <w:sz w:val="28"/>
          <w:szCs w:val="28"/>
        </w:rPr>
      </w:pPr>
    </w:p>
    <w:p w:rsidR="009D28FF" w:rsidRPr="00332FD2" w:rsidRDefault="009D28FF" w:rsidP="009D28FF">
      <w:pPr>
        <w:spacing w:line="360" w:lineRule="auto"/>
        <w:rPr>
          <w:rFonts w:ascii="宋体" w:hAnsi="宋体"/>
          <w:b/>
          <w:sz w:val="28"/>
          <w:szCs w:val="28"/>
          <w:shd w:val="clear" w:color="auto" w:fill="FFFFFF"/>
        </w:rPr>
      </w:pPr>
      <w:r w:rsidRPr="00332FD2">
        <w:rPr>
          <w:rFonts w:ascii="宋体" w:hAnsi="宋体"/>
          <w:b/>
          <w:sz w:val="28"/>
          <w:szCs w:val="28"/>
          <w:shd w:val="clear" w:color="auto" w:fill="FFFFFF"/>
        </w:rPr>
        <w:t>4.</w:t>
      </w:r>
      <w:r w:rsidRPr="00332FD2">
        <w:rPr>
          <w:rFonts w:ascii="宋体" w:hAnsi="宋体" w:hint="eastAsia"/>
          <w:b/>
          <w:sz w:val="28"/>
          <w:szCs w:val="28"/>
          <w:shd w:val="clear" w:color="auto" w:fill="FFFFFF"/>
        </w:rPr>
        <w:t>汇率升值明显</w:t>
      </w:r>
    </w:p>
    <w:p w:rsidR="009D28FF" w:rsidRPr="00332FD2" w:rsidRDefault="009D28FF" w:rsidP="009D28FF">
      <w:pPr>
        <w:rPr>
          <w:rFonts w:ascii="宋体" w:hAnsi="宋体"/>
          <w:sz w:val="28"/>
          <w:szCs w:val="28"/>
        </w:rPr>
      </w:pPr>
    </w:p>
    <w:p w:rsidR="009D28FF" w:rsidRPr="00332FD2" w:rsidRDefault="009D28FF" w:rsidP="009D28FF">
      <w:pPr>
        <w:ind w:firstLineChars="200" w:firstLine="560"/>
        <w:rPr>
          <w:rFonts w:ascii="宋体" w:hAnsi="宋体"/>
          <w:sz w:val="28"/>
          <w:szCs w:val="28"/>
        </w:rPr>
      </w:pPr>
      <w:r w:rsidRPr="00332FD2">
        <w:rPr>
          <w:rFonts w:ascii="宋体" w:hAnsi="宋体" w:hint="eastAsia"/>
          <w:sz w:val="28"/>
          <w:szCs w:val="28"/>
        </w:rPr>
        <w:t>3月末，国家外汇储备余额为3.14万亿美元。3月末，人民币汇率为1美元兑6.2881元人民币，比上年底升值3.8%。</w:t>
      </w:r>
    </w:p>
    <w:p w:rsidR="009D28FF" w:rsidRPr="00332FD2" w:rsidRDefault="009D28FF" w:rsidP="009D28FF">
      <w:pPr>
        <w:ind w:firstLineChars="200" w:firstLine="560"/>
        <w:rPr>
          <w:rFonts w:ascii="宋体" w:hAnsi="宋体"/>
          <w:sz w:val="28"/>
          <w:szCs w:val="28"/>
        </w:rPr>
      </w:pPr>
    </w:p>
    <w:p w:rsidR="009D28FF" w:rsidRPr="00332FD2" w:rsidRDefault="009D28FF" w:rsidP="009D28FF">
      <w:pPr>
        <w:spacing w:line="360" w:lineRule="auto"/>
        <w:jc w:val="center"/>
        <w:rPr>
          <w:rFonts w:ascii="宋体" w:hAnsi="宋体"/>
          <w:b/>
          <w:kern w:val="0"/>
          <w:sz w:val="28"/>
          <w:szCs w:val="28"/>
        </w:rPr>
      </w:pPr>
      <w:r w:rsidRPr="00332FD2">
        <w:rPr>
          <w:rFonts w:ascii="宋体" w:hAnsi="宋体" w:hint="eastAsia"/>
          <w:b/>
          <w:kern w:val="0"/>
          <w:sz w:val="28"/>
          <w:szCs w:val="28"/>
        </w:rPr>
        <w:t>二、因素与结构</w:t>
      </w:r>
    </w:p>
    <w:p w:rsidR="009D28FF" w:rsidRPr="00332FD2" w:rsidRDefault="009D28FF" w:rsidP="009D28FF">
      <w:pPr>
        <w:spacing w:line="360" w:lineRule="auto"/>
        <w:jc w:val="center"/>
        <w:rPr>
          <w:rFonts w:ascii="宋体" w:hAnsi="宋体"/>
          <w:b/>
          <w:kern w:val="0"/>
          <w:sz w:val="28"/>
          <w:szCs w:val="28"/>
        </w:rPr>
      </w:pPr>
    </w:p>
    <w:p w:rsidR="009D28FF" w:rsidRPr="00332FD2" w:rsidRDefault="009D28FF" w:rsidP="009D28FF">
      <w:pPr>
        <w:pStyle w:val="2"/>
        <w:spacing w:line="360" w:lineRule="auto"/>
        <w:ind w:firstLineChars="0" w:firstLine="0"/>
        <w:rPr>
          <w:rFonts w:ascii="宋体" w:hAnsi="宋体"/>
          <w:b/>
          <w:sz w:val="28"/>
          <w:szCs w:val="28"/>
        </w:rPr>
      </w:pPr>
      <w:r w:rsidRPr="00332FD2">
        <w:rPr>
          <w:rFonts w:ascii="宋体" w:hAnsi="宋体" w:hint="eastAsia"/>
          <w:b/>
          <w:sz w:val="28"/>
          <w:szCs w:val="28"/>
        </w:rPr>
        <w:t>1.民间投资增长加快   消费品零售增速回落</w:t>
      </w:r>
    </w:p>
    <w:p w:rsidR="009D28FF" w:rsidRPr="00332FD2" w:rsidRDefault="009D28FF" w:rsidP="009D28FF">
      <w:pPr>
        <w:rPr>
          <w:rFonts w:ascii="宋体" w:hAnsi="宋体"/>
          <w:sz w:val="28"/>
          <w:szCs w:val="28"/>
        </w:rPr>
      </w:pPr>
    </w:p>
    <w:p w:rsidR="009D28FF" w:rsidRPr="00332FD2" w:rsidRDefault="009D28FF" w:rsidP="009D28FF">
      <w:pPr>
        <w:ind w:firstLineChars="200" w:firstLine="560"/>
        <w:rPr>
          <w:rFonts w:ascii="宋体" w:hAnsi="宋体"/>
          <w:sz w:val="28"/>
          <w:szCs w:val="28"/>
        </w:rPr>
      </w:pPr>
      <w:r w:rsidRPr="00332FD2">
        <w:rPr>
          <w:rFonts w:ascii="宋体" w:hAnsi="宋体" w:hint="eastAsia"/>
          <w:sz w:val="28"/>
          <w:szCs w:val="28"/>
        </w:rPr>
        <w:t>一季度，全国固定资产投资（不含农户）</w:t>
      </w:r>
      <w:r w:rsidRPr="00332FD2">
        <w:rPr>
          <w:rFonts w:ascii="宋体" w:hAnsi="宋体"/>
          <w:sz w:val="28"/>
          <w:szCs w:val="28"/>
        </w:rPr>
        <w:t>100763</w:t>
      </w:r>
      <w:r w:rsidRPr="00332FD2">
        <w:rPr>
          <w:rFonts w:ascii="宋体" w:hAnsi="宋体" w:hint="eastAsia"/>
          <w:sz w:val="28"/>
          <w:szCs w:val="28"/>
        </w:rPr>
        <w:t>亿元，同比增长</w:t>
      </w:r>
      <w:r w:rsidRPr="00332FD2">
        <w:rPr>
          <w:rFonts w:ascii="宋体" w:hAnsi="宋体"/>
          <w:sz w:val="28"/>
          <w:szCs w:val="28"/>
        </w:rPr>
        <w:t>7.5%</w:t>
      </w:r>
      <w:r w:rsidRPr="00332FD2">
        <w:rPr>
          <w:rFonts w:ascii="宋体" w:hAnsi="宋体" w:hint="eastAsia"/>
          <w:sz w:val="28"/>
          <w:szCs w:val="28"/>
        </w:rPr>
        <w:t>，增速比</w:t>
      </w:r>
      <w:r w:rsidRPr="00332FD2">
        <w:rPr>
          <w:rFonts w:ascii="宋体" w:hAnsi="宋体"/>
          <w:sz w:val="28"/>
          <w:szCs w:val="28"/>
        </w:rPr>
        <w:t>1-2</w:t>
      </w:r>
      <w:r w:rsidRPr="00332FD2">
        <w:rPr>
          <w:rFonts w:ascii="宋体" w:hAnsi="宋体" w:hint="eastAsia"/>
          <w:sz w:val="28"/>
          <w:szCs w:val="28"/>
        </w:rPr>
        <w:t>月份回落</w:t>
      </w:r>
      <w:r w:rsidRPr="00332FD2">
        <w:rPr>
          <w:rFonts w:ascii="宋体" w:hAnsi="宋体"/>
          <w:sz w:val="28"/>
          <w:szCs w:val="28"/>
        </w:rPr>
        <w:t>0.4</w:t>
      </w:r>
      <w:r w:rsidRPr="00332FD2">
        <w:rPr>
          <w:rFonts w:ascii="宋体" w:hAnsi="宋体" w:hint="eastAsia"/>
          <w:sz w:val="28"/>
          <w:szCs w:val="28"/>
        </w:rPr>
        <w:t>个百分点，比上年同期回落</w:t>
      </w:r>
      <w:r w:rsidRPr="00332FD2">
        <w:rPr>
          <w:rFonts w:ascii="宋体" w:hAnsi="宋体"/>
          <w:sz w:val="28"/>
          <w:szCs w:val="28"/>
        </w:rPr>
        <w:t>1.7</w:t>
      </w:r>
      <w:r w:rsidRPr="00332FD2">
        <w:rPr>
          <w:rFonts w:ascii="宋体" w:hAnsi="宋体" w:hint="eastAsia"/>
          <w:sz w:val="28"/>
          <w:szCs w:val="28"/>
        </w:rPr>
        <w:t>个百分点。其中，民间投资</w:t>
      </w:r>
      <w:r w:rsidRPr="00332FD2">
        <w:rPr>
          <w:rFonts w:ascii="宋体" w:hAnsi="宋体"/>
          <w:sz w:val="28"/>
          <w:szCs w:val="28"/>
        </w:rPr>
        <w:t>62386</w:t>
      </w:r>
      <w:r w:rsidRPr="00332FD2">
        <w:rPr>
          <w:rFonts w:ascii="宋体" w:hAnsi="宋体" w:hint="eastAsia"/>
          <w:sz w:val="28"/>
          <w:szCs w:val="28"/>
        </w:rPr>
        <w:t>亿元，增长</w:t>
      </w:r>
      <w:r w:rsidRPr="00332FD2">
        <w:rPr>
          <w:rFonts w:ascii="宋体" w:hAnsi="宋体"/>
          <w:sz w:val="28"/>
          <w:szCs w:val="28"/>
        </w:rPr>
        <w:t>8.9%</w:t>
      </w:r>
      <w:r w:rsidRPr="00332FD2">
        <w:rPr>
          <w:rFonts w:ascii="宋体" w:hAnsi="宋体" w:hint="eastAsia"/>
          <w:sz w:val="28"/>
          <w:szCs w:val="28"/>
        </w:rPr>
        <w:t>，比</w:t>
      </w:r>
      <w:r w:rsidRPr="00332FD2">
        <w:rPr>
          <w:rFonts w:ascii="宋体" w:hAnsi="宋体"/>
          <w:sz w:val="28"/>
          <w:szCs w:val="28"/>
        </w:rPr>
        <w:t>1-2</w:t>
      </w:r>
      <w:r w:rsidRPr="00332FD2">
        <w:rPr>
          <w:rFonts w:ascii="宋体" w:hAnsi="宋体" w:hint="eastAsia"/>
          <w:sz w:val="28"/>
          <w:szCs w:val="28"/>
        </w:rPr>
        <w:t>月份加快</w:t>
      </w:r>
      <w:r w:rsidRPr="00332FD2">
        <w:rPr>
          <w:rFonts w:ascii="宋体" w:hAnsi="宋体"/>
          <w:sz w:val="28"/>
          <w:szCs w:val="28"/>
        </w:rPr>
        <w:t>0.8</w:t>
      </w:r>
      <w:r w:rsidRPr="00332FD2">
        <w:rPr>
          <w:rFonts w:ascii="宋体" w:hAnsi="宋体" w:hint="eastAsia"/>
          <w:sz w:val="28"/>
          <w:szCs w:val="28"/>
        </w:rPr>
        <w:t>个百分点，比上年同期加快</w:t>
      </w:r>
      <w:r w:rsidRPr="00332FD2">
        <w:rPr>
          <w:rFonts w:ascii="宋体" w:hAnsi="宋体"/>
          <w:sz w:val="28"/>
          <w:szCs w:val="28"/>
        </w:rPr>
        <w:t>1.2</w:t>
      </w:r>
      <w:r w:rsidRPr="00332FD2">
        <w:rPr>
          <w:rFonts w:ascii="宋体" w:hAnsi="宋体" w:hint="eastAsia"/>
          <w:sz w:val="28"/>
          <w:szCs w:val="28"/>
        </w:rPr>
        <w:t>个百分点。分产业看，第一产业投资</w:t>
      </w:r>
      <w:r w:rsidRPr="00332FD2">
        <w:rPr>
          <w:rFonts w:ascii="宋体" w:hAnsi="宋体"/>
          <w:sz w:val="28"/>
          <w:szCs w:val="28"/>
        </w:rPr>
        <w:t>2900</w:t>
      </w:r>
      <w:r w:rsidRPr="00332FD2">
        <w:rPr>
          <w:rFonts w:ascii="宋体" w:hAnsi="宋体" w:hint="eastAsia"/>
          <w:sz w:val="28"/>
          <w:szCs w:val="28"/>
        </w:rPr>
        <w:t>亿元，增长</w:t>
      </w:r>
      <w:r w:rsidRPr="00332FD2">
        <w:rPr>
          <w:rFonts w:ascii="宋体" w:hAnsi="宋体"/>
          <w:sz w:val="28"/>
          <w:szCs w:val="28"/>
        </w:rPr>
        <w:t>24.2%</w:t>
      </w:r>
      <w:r w:rsidRPr="00332FD2">
        <w:rPr>
          <w:rFonts w:ascii="宋体" w:hAnsi="宋体" w:hint="eastAsia"/>
          <w:sz w:val="28"/>
          <w:szCs w:val="28"/>
        </w:rPr>
        <w:t>；第二产业投资</w:t>
      </w:r>
      <w:r w:rsidRPr="00332FD2">
        <w:rPr>
          <w:rFonts w:ascii="宋体" w:hAnsi="宋体"/>
          <w:sz w:val="28"/>
          <w:szCs w:val="28"/>
        </w:rPr>
        <w:t>35813</w:t>
      </w:r>
      <w:r w:rsidRPr="00332FD2">
        <w:rPr>
          <w:rFonts w:ascii="宋体" w:hAnsi="宋体" w:hint="eastAsia"/>
          <w:sz w:val="28"/>
          <w:szCs w:val="28"/>
        </w:rPr>
        <w:t>亿元，增长</w:t>
      </w:r>
      <w:r w:rsidRPr="00332FD2">
        <w:rPr>
          <w:rFonts w:ascii="宋体" w:hAnsi="宋体"/>
          <w:sz w:val="28"/>
          <w:szCs w:val="28"/>
        </w:rPr>
        <w:t>2.0%</w:t>
      </w:r>
      <w:r w:rsidRPr="00332FD2">
        <w:rPr>
          <w:rFonts w:ascii="宋体" w:hAnsi="宋体" w:hint="eastAsia"/>
          <w:sz w:val="28"/>
          <w:szCs w:val="28"/>
        </w:rPr>
        <w:t>，其中制造业投资增长</w:t>
      </w:r>
      <w:r w:rsidRPr="00332FD2">
        <w:rPr>
          <w:rFonts w:ascii="宋体" w:hAnsi="宋体"/>
          <w:sz w:val="28"/>
          <w:szCs w:val="28"/>
        </w:rPr>
        <w:t>3.8%</w:t>
      </w:r>
      <w:r w:rsidRPr="00332FD2">
        <w:rPr>
          <w:rFonts w:ascii="宋体" w:hAnsi="宋体" w:hint="eastAsia"/>
          <w:sz w:val="28"/>
          <w:szCs w:val="28"/>
        </w:rPr>
        <w:t>；第三产业投资</w:t>
      </w:r>
      <w:r w:rsidRPr="00332FD2">
        <w:rPr>
          <w:rFonts w:ascii="宋体" w:hAnsi="宋体"/>
          <w:sz w:val="28"/>
          <w:szCs w:val="28"/>
        </w:rPr>
        <w:t>62050</w:t>
      </w:r>
      <w:r w:rsidRPr="00332FD2">
        <w:rPr>
          <w:rFonts w:ascii="宋体" w:hAnsi="宋体" w:hint="eastAsia"/>
          <w:sz w:val="28"/>
          <w:szCs w:val="28"/>
        </w:rPr>
        <w:t>亿元，增长</w:t>
      </w:r>
      <w:r w:rsidRPr="00332FD2">
        <w:rPr>
          <w:rFonts w:ascii="宋体" w:hAnsi="宋体"/>
          <w:sz w:val="28"/>
          <w:szCs w:val="28"/>
        </w:rPr>
        <w:t>10.0%</w:t>
      </w:r>
      <w:r w:rsidRPr="00332FD2">
        <w:rPr>
          <w:rFonts w:ascii="宋体" w:hAnsi="宋体" w:hint="eastAsia"/>
          <w:sz w:val="28"/>
          <w:szCs w:val="28"/>
        </w:rPr>
        <w:t>，其中基础设施投资增长</w:t>
      </w:r>
      <w:r w:rsidRPr="00332FD2">
        <w:rPr>
          <w:rFonts w:ascii="宋体" w:hAnsi="宋体"/>
          <w:sz w:val="28"/>
          <w:szCs w:val="28"/>
        </w:rPr>
        <w:t>13.0%</w:t>
      </w:r>
      <w:r w:rsidRPr="00332FD2">
        <w:rPr>
          <w:rFonts w:ascii="宋体" w:hAnsi="宋体" w:hint="eastAsia"/>
          <w:sz w:val="28"/>
          <w:szCs w:val="28"/>
        </w:rPr>
        <w:t>。高技术制造业投资同比增长</w:t>
      </w:r>
      <w:r w:rsidRPr="00332FD2">
        <w:rPr>
          <w:rFonts w:ascii="宋体" w:hAnsi="宋体"/>
          <w:sz w:val="28"/>
          <w:szCs w:val="28"/>
        </w:rPr>
        <w:t>7.9%</w:t>
      </w:r>
      <w:r w:rsidRPr="00332FD2">
        <w:rPr>
          <w:rFonts w:ascii="宋体" w:hAnsi="宋体" w:hint="eastAsia"/>
          <w:sz w:val="28"/>
          <w:szCs w:val="28"/>
        </w:rPr>
        <w:t>，增速比全部投资快</w:t>
      </w:r>
      <w:r w:rsidRPr="00332FD2">
        <w:rPr>
          <w:rFonts w:ascii="宋体" w:hAnsi="宋体"/>
          <w:sz w:val="28"/>
          <w:szCs w:val="28"/>
        </w:rPr>
        <w:t>0.4</w:t>
      </w:r>
      <w:r w:rsidRPr="00332FD2">
        <w:rPr>
          <w:rFonts w:ascii="宋体" w:hAnsi="宋体" w:hint="eastAsia"/>
          <w:sz w:val="28"/>
          <w:szCs w:val="28"/>
        </w:rPr>
        <w:t>个百分点。</w:t>
      </w:r>
    </w:p>
    <w:p w:rsidR="009D28FF" w:rsidRPr="00332FD2" w:rsidRDefault="009D28FF" w:rsidP="009D28FF">
      <w:pPr>
        <w:ind w:firstLineChars="200" w:firstLine="560"/>
        <w:rPr>
          <w:rFonts w:ascii="宋体" w:hAnsi="宋体"/>
          <w:sz w:val="28"/>
          <w:szCs w:val="28"/>
        </w:rPr>
      </w:pPr>
      <w:r w:rsidRPr="00332FD2">
        <w:rPr>
          <w:rFonts w:ascii="宋体" w:hAnsi="宋体" w:hint="eastAsia"/>
          <w:sz w:val="28"/>
          <w:szCs w:val="28"/>
        </w:rPr>
        <w:t>一季度，社会消费品零售总额</w:t>
      </w:r>
      <w:r w:rsidRPr="00332FD2">
        <w:rPr>
          <w:rFonts w:ascii="宋体" w:hAnsi="宋体"/>
          <w:sz w:val="28"/>
          <w:szCs w:val="28"/>
        </w:rPr>
        <w:t>90275</w:t>
      </w:r>
      <w:r w:rsidRPr="00332FD2">
        <w:rPr>
          <w:rFonts w:ascii="宋体" w:hAnsi="宋体" w:hint="eastAsia"/>
          <w:sz w:val="28"/>
          <w:szCs w:val="28"/>
        </w:rPr>
        <w:t>亿元，同比增长</w:t>
      </w:r>
      <w:r w:rsidRPr="00332FD2">
        <w:rPr>
          <w:rFonts w:ascii="宋体" w:hAnsi="宋体"/>
          <w:sz w:val="28"/>
          <w:szCs w:val="28"/>
        </w:rPr>
        <w:t>9.8%</w:t>
      </w:r>
      <w:r w:rsidRPr="00332FD2">
        <w:rPr>
          <w:rFonts w:ascii="宋体" w:hAnsi="宋体" w:hint="eastAsia"/>
          <w:sz w:val="28"/>
          <w:szCs w:val="28"/>
        </w:rPr>
        <w:t>，增速比</w:t>
      </w:r>
      <w:r w:rsidRPr="00332FD2">
        <w:rPr>
          <w:rFonts w:ascii="宋体" w:hAnsi="宋体"/>
          <w:sz w:val="28"/>
          <w:szCs w:val="28"/>
        </w:rPr>
        <w:t>1-2</w:t>
      </w:r>
      <w:r w:rsidRPr="00332FD2">
        <w:rPr>
          <w:rFonts w:ascii="宋体" w:hAnsi="宋体" w:hint="eastAsia"/>
          <w:sz w:val="28"/>
          <w:szCs w:val="28"/>
        </w:rPr>
        <w:t>月份加快</w:t>
      </w:r>
      <w:r w:rsidRPr="00332FD2">
        <w:rPr>
          <w:rFonts w:ascii="宋体" w:hAnsi="宋体"/>
          <w:sz w:val="28"/>
          <w:szCs w:val="28"/>
        </w:rPr>
        <w:t>0.1</w:t>
      </w:r>
      <w:r w:rsidRPr="00332FD2">
        <w:rPr>
          <w:rFonts w:ascii="宋体" w:hAnsi="宋体" w:hint="eastAsia"/>
          <w:sz w:val="28"/>
          <w:szCs w:val="28"/>
        </w:rPr>
        <w:t>个百分点，比上年同期回落</w:t>
      </w:r>
      <w:r w:rsidRPr="00332FD2">
        <w:rPr>
          <w:rFonts w:ascii="宋体" w:hAnsi="宋体"/>
          <w:sz w:val="28"/>
          <w:szCs w:val="28"/>
        </w:rPr>
        <w:t>0.2</w:t>
      </w:r>
      <w:r w:rsidRPr="00332FD2">
        <w:rPr>
          <w:rFonts w:ascii="宋体" w:hAnsi="宋体" w:hint="eastAsia"/>
          <w:sz w:val="28"/>
          <w:szCs w:val="28"/>
        </w:rPr>
        <w:t>个百分点。按经营单位所在地分，城镇消费品零售额</w:t>
      </w:r>
      <w:r w:rsidRPr="00332FD2">
        <w:rPr>
          <w:rFonts w:ascii="宋体" w:hAnsi="宋体"/>
          <w:sz w:val="28"/>
          <w:szCs w:val="28"/>
        </w:rPr>
        <w:t>77096</w:t>
      </w:r>
      <w:r w:rsidRPr="00332FD2">
        <w:rPr>
          <w:rFonts w:ascii="宋体" w:hAnsi="宋体" w:hint="eastAsia"/>
          <w:sz w:val="28"/>
          <w:szCs w:val="28"/>
        </w:rPr>
        <w:t>亿元，增长</w:t>
      </w:r>
      <w:r w:rsidRPr="00332FD2">
        <w:rPr>
          <w:rFonts w:ascii="宋体" w:hAnsi="宋体"/>
          <w:sz w:val="28"/>
          <w:szCs w:val="28"/>
        </w:rPr>
        <w:t>9.7%</w:t>
      </w:r>
      <w:r w:rsidRPr="00332FD2">
        <w:rPr>
          <w:rFonts w:ascii="宋体" w:hAnsi="宋体" w:hint="eastAsia"/>
          <w:sz w:val="28"/>
          <w:szCs w:val="28"/>
        </w:rPr>
        <w:t>；乡村消费品零售额</w:t>
      </w:r>
      <w:r w:rsidRPr="00332FD2">
        <w:rPr>
          <w:rFonts w:ascii="宋体" w:hAnsi="宋体"/>
          <w:sz w:val="28"/>
          <w:szCs w:val="28"/>
        </w:rPr>
        <w:t>13179</w:t>
      </w:r>
      <w:r w:rsidRPr="00332FD2">
        <w:rPr>
          <w:rFonts w:ascii="宋体" w:hAnsi="宋体" w:hint="eastAsia"/>
          <w:sz w:val="28"/>
          <w:szCs w:val="28"/>
        </w:rPr>
        <w:t>亿元，增长</w:t>
      </w:r>
      <w:r w:rsidRPr="00332FD2">
        <w:rPr>
          <w:rFonts w:ascii="宋体" w:hAnsi="宋体"/>
          <w:sz w:val="28"/>
          <w:szCs w:val="28"/>
        </w:rPr>
        <w:t>10.7%</w:t>
      </w:r>
      <w:r w:rsidRPr="00332FD2">
        <w:rPr>
          <w:rFonts w:ascii="宋体" w:hAnsi="宋体" w:hint="eastAsia"/>
          <w:sz w:val="28"/>
          <w:szCs w:val="28"/>
        </w:rPr>
        <w:t>。一季度，全国网上零售额</w:t>
      </w:r>
      <w:r w:rsidRPr="00332FD2">
        <w:rPr>
          <w:rFonts w:ascii="宋体" w:hAnsi="宋体"/>
          <w:sz w:val="28"/>
          <w:szCs w:val="28"/>
        </w:rPr>
        <w:lastRenderedPageBreak/>
        <w:t>19318</w:t>
      </w:r>
      <w:r w:rsidRPr="00332FD2">
        <w:rPr>
          <w:rFonts w:ascii="宋体" w:hAnsi="宋体" w:hint="eastAsia"/>
          <w:sz w:val="28"/>
          <w:szCs w:val="28"/>
        </w:rPr>
        <w:t>亿元，同比增长</w:t>
      </w:r>
      <w:r w:rsidRPr="00332FD2">
        <w:rPr>
          <w:rFonts w:ascii="宋体" w:hAnsi="宋体"/>
          <w:sz w:val="28"/>
          <w:szCs w:val="28"/>
        </w:rPr>
        <w:t>35.4%</w:t>
      </w:r>
      <w:r w:rsidRPr="00332FD2">
        <w:rPr>
          <w:rFonts w:ascii="宋体" w:hAnsi="宋体" w:hint="eastAsia"/>
          <w:sz w:val="28"/>
          <w:szCs w:val="28"/>
        </w:rPr>
        <w:t>，比上年同期加快</w:t>
      </w:r>
      <w:r w:rsidRPr="00332FD2">
        <w:rPr>
          <w:rFonts w:ascii="宋体" w:hAnsi="宋体"/>
          <w:sz w:val="28"/>
          <w:szCs w:val="28"/>
        </w:rPr>
        <w:t>3.3</w:t>
      </w:r>
      <w:r w:rsidRPr="00332FD2">
        <w:rPr>
          <w:rFonts w:ascii="宋体" w:hAnsi="宋体" w:hint="eastAsia"/>
          <w:sz w:val="28"/>
          <w:szCs w:val="28"/>
        </w:rPr>
        <w:t>个百分点。其中，实物商品网上零售额</w:t>
      </w:r>
      <w:r w:rsidRPr="00332FD2">
        <w:rPr>
          <w:rFonts w:ascii="宋体" w:hAnsi="宋体"/>
          <w:sz w:val="28"/>
          <w:szCs w:val="28"/>
        </w:rPr>
        <w:t>14567</w:t>
      </w:r>
      <w:r w:rsidRPr="00332FD2">
        <w:rPr>
          <w:rFonts w:ascii="宋体" w:hAnsi="宋体" w:hint="eastAsia"/>
          <w:sz w:val="28"/>
          <w:szCs w:val="28"/>
        </w:rPr>
        <w:t>亿元，增长</w:t>
      </w:r>
      <w:r w:rsidRPr="00332FD2">
        <w:rPr>
          <w:rFonts w:ascii="宋体" w:hAnsi="宋体"/>
          <w:sz w:val="28"/>
          <w:szCs w:val="28"/>
        </w:rPr>
        <w:t>34.4%</w:t>
      </w:r>
      <w:r w:rsidRPr="00332FD2">
        <w:rPr>
          <w:rFonts w:ascii="宋体" w:hAnsi="宋体" w:hint="eastAsia"/>
          <w:sz w:val="28"/>
          <w:szCs w:val="28"/>
        </w:rPr>
        <w:t>，占社会消费品零售总额的比重为</w:t>
      </w:r>
      <w:r w:rsidRPr="00332FD2">
        <w:rPr>
          <w:rFonts w:ascii="宋体" w:hAnsi="宋体"/>
          <w:sz w:val="28"/>
          <w:szCs w:val="28"/>
        </w:rPr>
        <w:t>16.1%</w:t>
      </w:r>
      <w:r w:rsidRPr="00332FD2">
        <w:rPr>
          <w:rFonts w:ascii="宋体" w:hAnsi="宋体" w:hint="eastAsia"/>
          <w:sz w:val="28"/>
          <w:szCs w:val="28"/>
        </w:rPr>
        <w:t>，同比提高</w:t>
      </w:r>
      <w:r w:rsidRPr="00332FD2">
        <w:rPr>
          <w:rFonts w:ascii="宋体" w:hAnsi="宋体"/>
          <w:sz w:val="28"/>
          <w:szCs w:val="28"/>
        </w:rPr>
        <w:t>3.7</w:t>
      </w:r>
      <w:r w:rsidRPr="00332FD2">
        <w:rPr>
          <w:rFonts w:ascii="宋体" w:hAnsi="宋体" w:hint="eastAsia"/>
          <w:sz w:val="28"/>
          <w:szCs w:val="28"/>
        </w:rPr>
        <w:t>个百分点；非实物商品网上零售额</w:t>
      </w:r>
      <w:r w:rsidRPr="00332FD2">
        <w:rPr>
          <w:rFonts w:ascii="宋体" w:hAnsi="宋体"/>
          <w:sz w:val="28"/>
          <w:szCs w:val="28"/>
        </w:rPr>
        <w:t>4751</w:t>
      </w:r>
      <w:r w:rsidRPr="00332FD2">
        <w:rPr>
          <w:rFonts w:ascii="宋体" w:hAnsi="宋体" w:hint="eastAsia"/>
          <w:sz w:val="28"/>
          <w:szCs w:val="28"/>
        </w:rPr>
        <w:t>亿元，增长</w:t>
      </w:r>
      <w:r w:rsidRPr="00332FD2">
        <w:rPr>
          <w:rFonts w:ascii="宋体" w:hAnsi="宋体"/>
          <w:sz w:val="28"/>
          <w:szCs w:val="28"/>
        </w:rPr>
        <w:t>38.7%</w:t>
      </w:r>
      <w:r w:rsidRPr="00332FD2">
        <w:rPr>
          <w:rFonts w:ascii="宋体" w:hAnsi="宋体" w:hint="eastAsia"/>
          <w:sz w:val="28"/>
          <w:szCs w:val="28"/>
        </w:rPr>
        <w:t>。</w:t>
      </w:r>
    </w:p>
    <w:p w:rsidR="009D28FF" w:rsidRPr="00332FD2" w:rsidRDefault="009D28FF" w:rsidP="009D28FF">
      <w:pPr>
        <w:rPr>
          <w:rFonts w:ascii="宋体" w:hAnsi="宋体"/>
          <w:sz w:val="28"/>
          <w:szCs w:val="28"/>
        </w:rPr>
      </w:pPr>
    </w:p>
    <w:p w:rsidR="009D28FF" w:rsidRPr="00332FD2" w:rsidRDefault="009D28FF" w:rsidP="009D28FF">
      <w:pPr>
        <w:rPr>
          <w:rFonts w:ascii="宋体" w:hAnsi="宋体"/>
          <w:sz w:val="28"/>
          <w:szCs w:val="28"/>
        </w:rPr>
      </w:pPr>
      <w:r w:rsidRPr="00332FD2">
        <w:rPr>
          <w:noProof/>
          <w:sz w:val="28"/>
          <w:szCs w:val="28"/>
        </w:rPr>
        <w:drawing>
          <wp:inline distT="0" distB="0" distL="0" distR="0">
            <wp:extent cx="4886325" cy="2952750"/>
            <wp:effectExtent l="0" t="0" r="9525" b="0"/>
            <wp:docPr id="9" name="图表 2">
              <a:extLst xmlns:a="http://schemas.openxmlformats.org/drawingml/2006/main">
                <a:ext uri="{FF2B5EF4-FFF2-40B4-BE49-F238E27FC236}">
                  <a16:creationId xmlns:a16="http://schemas.microsoft.com/office/drawing/2014/main" id="{AF8655D7-129E-45C2-B7DE-A88FF0E316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D28FF" w:rsidRPr="00332FD2" w:rsidRDefault="009D28FF" w:rsidP="009D28FF">
      <w:pPr>
        <w:spacing w:line="360" w:lineRule="auto"/>
        <w:rPr>
          <w:rFonts w:ascii="宋体" w:hAnsi="宋体"/>
          <w:b/>
          <w:sz w:val="28"/>
          <w:szCs w:val="28"/>
        </w:rPr>
      </w:pPr>
    </w:p>
    <w:p w:rsidR="009D28FF" w:rsidRPr="00332FD2" w:rsidRDefault="009D28FF" w:rsidP="009D28FF">
      <w:pPr>
        <w:spacing w:line="360" w:lineRule="auto"/>
        <w:rPr>
          <w:rFonts w:ascii="宋体" w:hAnsi="宋体"/>
          <w:b/>
          <w:sz w:val="28"/>
          <w:szCs w:val="28"/>
        </w:rPr>
      </w:pPr>
      <w:r w:rsidRPr="00332FD2">
        <w:rPr>
          <w:rFonts w:ascii="宋体" w:hAnsi="宋体"/>
          <w:b/>
          <w:sz w:val="28"/>
          <w:szCs w:val="28"/>
        </w:rPr>
        <w:t>2.</w:t>
      </w:r>
      <w:r w:rsidRPr="00332FD2">
        <w:rPr>
          <w:rFonts w:ascii="宋体" w:hAnsi="宋体" w:hint="eastAsia"/>
          <w:b/>
          <w:sz w:val="28"/>
          <w:szCs w:val="28"/>
        </w:rPr>
        <w:t xml:space="preserve">贸易顺差收窄  对外投资加快  </w:t>
      </w:r>
    </w:p>
    <w:p w:rsidR="009D28FF" w:rsidRPr="00332FD2" w:rsidRDefault="009D28FF" w:rsidP="009D28FF">
      <w:pPr>
        <w:rPr>
          <w:rFonts w:ascii="宋体" w:hAnsi="宋体"/>
          <w:sz w:val="28"/>
          <w:szCs w:val="28"/>
        </w:rPr>
      </w:pPr>
    </w:p>
    <w:p w:rsidR="009D28FF" w:rsidRPr="00332FD2" w:rsidRDefault="009D28FF" w:rsidP="009D28FF">
      <w:pPr>
        <w:ind w:firstLineChars="200" w:firstLine="560"/>
        <w:rPr>
          <w:rFonts w:ascii="宋体" w:hAnsi="宋体"/>
          <w:sz w:val="28"/>
          <w:szCs w:val="28"/>
        </w:rPr>
      </w:pPr>
      <w:r w:rsidRPr="00332FD2">
        <w:rPr>
          <w:rFonts w:ascii="宋体" w:hAnsi="宋体" w:hint="eastAsia"/>
          <w:sz w:val="28"/>
          <w:szCs w:val="28"/>
        </w:rPr>
        <w:t>一季度，货物进出口总额</w:t>
      </w:r>
      <w:r w:rsidRPr="00332FD2">
        <w:rPr>
          <w:rFonts w:ascii="宋体" w:hAnsi="宋体"/>
          <w:sz w:val="28"/>
          <w:szCs w:val="28"/>
        </w:rPr>
        <w:t>67516</w:t>
      </w:r>
      <w:r w:rsidRPr="00332FD2">
        <w:rPr>
          <w:rFonts w:ascii="宋体" w:hAnsi="宋体" w:hint="eastAsia"/>
          <w:sz w:val="28"/>
          <w:szCs w:val="28"/>
        </w:rPr>
        <w:t>亿元，同比增长</w:t>
      </w:r>
      <w:r w:rsidRPr="00332FD2">
        <w:rPr>
          <w:rFonts w:ascii="宋体" w:hAnsi="宋体"/>
          <w:sz w:val="28"/>
          <w:szCs w:val="28"/>
        </w:rPr>
        <w:t>9.4%</w:t>
      </w:r>
      <w:r w:rsidRPr="00332FD2">
        <w:rPr>
          <w:rFonts w:ascii="宋体" w:hAnsi="宋体" w:hint="eastAsia"/>
          <w:sz w:val="28"/>
          <w:szCs w:val="28"/>
        </w:rPr>
        <w:t>。其中，出口</w:t>
      </w:r>
      <w:r w:rsidRPr="00332FD2">
        <w:rPr>
          <w:rFonts w:ascii="宋体" w:hAnsi="宋体"/>
          <w:sz w:val="28"/>
          <w:szCs w:val="28"/>
        </w:rPr>
        <w:t>35389</w:t>
      </w:r>
      <w:r w:rsidRPr="00332FD2">
        <w:rPr>
          <w:rFonts w:ascii="宋体" w:hAnsi="宋体" w:hint="eastAsia"/>
          <w:sz w:val="28"/>
          <w:szCs w:val="28"/>
        </w:rPr>
        <w:t>亿元，增长</w:t>
      </w:r>
      <w:r w:rsidRPr="00332FD2">
        <w:rPr>
          <w:rFonts w:ascii="宋体" w:hAnsi="宋体"/>
          <w:sz w:val="28"/>
          <w:szCs w:val="28"/>
        </w:rPr>
        <w:t>7.4%</w:t>
      </w:r>
      <w:r w:rsidRPr="00332FD2">
        <w:rPr>
          <w:rFonts w:ascii="宋体" w:hAnsi="宋体" w:hint="eastAsia"/>
          <w:sz w:val="28"/>
          <w:szCs w:val="28"/>
        </w:rPr>
        <w:t>；进口</w:t>
      </w:r>
      <w:r w:rsidRPr="00332FD2">
        <w:rPr>
          <w:rFonts w:ascii="宋体" w:hAnsi="宋体"/>
          <w:sz w:val="28"/>
          <w:szCs w:val="28"/>
        </w:rPr>
        <w:t>32127</w:t>
      </w:r>
      <w:r w:rsidRPr="00332FD2">
        <w:rPr>
          <w:rFonts w:ascii="宋体" w:hAnsi="宋体" w:hint="eastAsia"/>
          <w:sz w:val="28"/>
          <w:szCs w:val="28"/>
        </w:rPr>
        <w:t>亿元，增长</w:t>
      </w:r>
      <w:r w:rsidRPr="00332FD2">
        <w:rPr>
          <w:rFonts w:ascii="宋体" w:hAnsi="宋体"/>
          <w:sz w:val="28"/>
          <w:szCs w:val="28"/>
        </w:rPr>
        <w:t>11.7%</w:t>
      </w:r>
      <w:r w:rsidRPr="00332FD2">
        <w:rPr>
          <w:rFonts w:ascii="宋体" w:hAnsi="宋体" w:hint="eastAsia"/>
          <w:sz w:val="28"/>
          <w:szCs w:val="28"/>
        </w:rPr>
        <w:t>。进出口相抵，顺差</w:t>
      </w:r>
      <w:r w:rsidRPr="00332FD2">
        <w:rPr>
          <w:rFonts w:ascii="宋体" w:hAnsi="宋体"/>
          <w:sz w:val="28"/>
          <w:szCs w:val="28"/>
        </w:rPr>
        <w:t>3262</w:t>
      </w:r>
      <w:r w:rsidRPr="00332FD2">
        <w:rPr>
          <w:rFonts w:ascii="宋体" w:hAnsi="宋体" w:hint="eastAsia"/>
          <w:sz w:val="28"/>
          <w:szCs w:val="28"/>
        </w:rPr>
        <w:t>亿元，比上年同期收窄</w:t>
      </w:r>
      <w:r w:rsidRPr="00332FD2">
        <w:rPr>
          <w:rFonts w:ascii="宋体" w:hAnsi="宋体"/>
          <w:sz w:val="28"/>
          <w:szCs w:val="28"/>
        </w:rPr>
        <w:t>21.8%</w:t>
      </w:r>
      <w:r w:rsidRPr="00332FD2">
        <w:rPr>
          <w:rFonts w:ascii="宋体" w:hAnsi="宋体" w:hint="eastAsia"/>
          <w:sz w:val="28"/>
          <w:szCs w:val="28"/>
        </w:rPr>
        <w:t>。一般贸易进出口增长</w:t>
      </w:r>
      <w:r w:rsidRPr="00332FD2">
        <w:rPr>
          <w:rFonts w:ascii="宋体" w:hAnsi="宋体"/>
          <w:sz w:val="28"/>
          <w:szCs w:val="28"/>
        </w:rPr>
        <w:t>13.2%</w:t>
      </w:r>
      <w:r w:rsidRPr="00332FD2">
        <w:rPr>
          <w:rFonts w:ascii="宋体" w:hAnsi="宋体" w:hint="eastAsia"/>
          <w:sz w:val="28"/>
          <w:szCs w:val="28"/>
        </w:rPr>
        <w:t>，占进出口总额的</w:t>
      </w:r>
      <w:r w:rsidRPr="00332FD2">
        <w:rPr>
          <w:rFonts w:ascii="宋体" w:hAnsi="宋体"/>
          <w:sz w:val="28"/>
          <w:szCs w:val="28"/>
        </w:rPr>
        <w:t>58.3%</w:t>
      </w:r>
      <w:r w:rsidRPr="00332FD2">
        <w:rPr>
          <w:rFonts w:ascii="宋体" w:hAnsi="宋体" w:hint="eastAsia"/>
          <w:sz w:val="28"/>
          <w:szCs w:val="28"/>
        </w:rPr>
        <w:t>，比上年同期提高</w:t>
      </w:r>
      <w:r w:rsidRPr="00332FD2">
        <w:rPr>
          <w:rFonts w:ascii="宋体" w:hAnsi="宋体"/>
          <w:sz w:val="28"/>
          <w:szCs w:val="28"/>
        </w:rPr>
        <w:t>2.0</w:t>
      </w:r>
      <w:r w:rsidRPr="00332FD2">
        <w:rPr>
          <w:rFonts w:ascii="宋体" w:hAnsi="宋体" w:hint="eastAsia"/>
          <w:sz w:val="28"/>
          <w:szCs w:val="28"/>
        </w:rPr>
        <w:t>个百分点。对前三大贸易伙伴进出口保持增长，我国对欧盟、美国和东盟进出口分别增长</w:t>
      </w:r>
      <w:r w:rsidRPr="00332FD2">
        <w:rPr>
          <w:rFonts w:ascii="宋体" w:hAnsi="宋体"/>
          <w:sz w:val="28"/>
          <w:szCs w:val="28"/>
        </w:rPr>
        <w:t>8.2%</w:t>
      </w:r>
      <w:r w:rsidRPr="00332FD2">
        <w:rPr>
          <w:rFonts w:ascii="宋体" w:hAnsi="宋体" w:hint="eastAsia"/>
          <w:sz w:val="28"/>
          <w:szCs w:val="28"/>
        </w:rPr>
        <w:t>、</w:t>
      </w:r>
      <w:r w:rsidRPr="00332FD2">
        <w:rPr>
          <w:rFonts w:ascii="宋体" w:hAnsi="宋体"/>
          <w:sz w:val="28"/>
          <w:szCs w:val="28"/>
        </w:rPr>
        <w:t>6.3%</w:t>
      </w:r>
      <w:r w:rsidRPr="00332FD2">
        <w:rPr>
          <w:rFonts w:ascii="宋体" w:hAnsi="宋体" w:hint="eastAsia"/>
          <w:sz w:val="28"/>
          <w:szCs w:val="28"/>
        </w:rPr>
        <w:t>和</w:t>
      </w:r>
      <w:r w:rsidRPr="00332FD2">
        <w:rPr>
          <w:rFonts w:ascii="宋体" w:hAnsi="宋体"/>
          <w:sz w:val="28"/>
          <w:szCs w:val="28"/>
        </w:rPr>
        <w:t>13.7%</w:t>
      </w:r>
      <w:r w:rsidRPr="00332FD2">
        <w:rPr>
          <w:rFonts w:ascii="宋体" w:hAnsi="宋体" w:hint="eastAsia"/>
          <w:sz w:val="28"/>
          <w:szCs w:val="28"/>
        </w:rPr>
        <w:t>；与部分“一带一路”共建国家进出口增势较好，对俄罗斯、波兰和哈萨克斯坦等国进出口分别增长</w:t>
      </w:r>
      <w:r w:rsidRPr="00332FD2">
        <w:rPr>
          <w:rFonts w:ascii="宋体" w:hAnsi="宋体"/>
          <w:sz w:val="28"/>
          <w:szCs w:val="28"/>
        </w:rPr>
        <w:t>20.5%</w:t>
      </w:r>
      <w:r w:rsidRPr="00332FD2">
        <w:rPr>
          <w:rFonts w:ascii="宋体" w:hAnsi="宋体" w:hint="eastAsia"/>
          <w:sz w:val="28"/>
          <w:szCs w:val="28"/>
        </w:rPr>
        <w:t>、</w:t>
      </w:r>
      <w:r w:rsidRPr="00332FD2">
        <w:rPr>
          <w:rFonts w:ascii="宋体" w:hAnsi="宋体"/>
          <w:sz w:val="28"/>
          <w:szCs w:val="28"/>
        </w:rPr>
        <w:lastRenderedPageBreak/>
        <w:t>16.6%</w:t>
      </w:r>
      <w:r w:rsidRPr="00332FD2">
        <w:rPr>
          <w:rFonts w:ascii="宋体" w:hAnsi="宋体" w:hint="eastAsia"/>
          <w:sz w:val="28"/>
          <w:szCs w:val="28"/>
        </w:rPr>
        <w:t>和</w:t>
      </w:r>
      <w:r w:rsidRPr="00332FD2">
        <w:rPr>
          <w:rFonts w:ascii="宋体" w:hAnsi="宋体"/>
          <w:sz w:val="28"/>
          <w:szCs w:val="28"/>
        </w:rPr>
        <w:t>16.2%</w:t>
      </w:r>
      <w:r w:rsidRPr="00332FD2">
        <w:rPr>
          <w:rFonts w:ascii="宋体" w:hAnsi="宋体" w:hint="eastAsia"/>
          <w:sz w:val="28"/>
          <w:szCs w:val="28"/>
        </w:rPr>
        <w:t>。</w:t>
      </w:r>
    </w:p>
    <w:p w:rsidR="009D28FF" w:rsidRPr="00332FD2" w:rsidRDefault="009D28FF" w:rsidP="009D28FF">
      <w:pPr>
        <w:ind w:firstLineChars="200" w:firstLine="560"/>
        <w:rPr>
          <w:rFonts w:ascii="宋体" w:hAnsi="宋体"/>
          <w:sz w:val="28"/>
          <w:szCs w:val="28"/>
        </w:rPr>
      </w:pPr>
      <w:r w:rsidRPr="00332FD2">
        <w:rPr>
          <w:rFonts w:ascii="宋体" w:hAnsi="宋体"/>
          <w:sz w:val="28"/>
          <w:szCs w:val="28"/>
        </w:rPr>
        <w:t>1-3月全国新设立外商投资企业14340家，同比增长124.7%；实际使用外资2275.4亿元人民币，同比增长0.5%。如果以美元计算，同比增长2.1%。1-3月份，主要投资来源地中，新加坡、韩国、日本、澳门地区、英国、法国实际投入金额同比分别增长72.5%、65.7%、11.2%、115.1%、5.5%和18.2%。</w:t>
      </w:r>
    </w:p>
    <w:p w:rsidR="009D28FF" w:rsidRPr="00332FD2" w:rsidRDefault="009D28FF" w:rsidP="009D28FF">
      <w:pPr>
        <w:ind w:firstLineChars="200" w:firstLine="560"/>
        <w:rPr>
          <w:rFonts w:ascii="宋体" w:hAnsi="宋体"/>
          <w:sz w:val="28"/>
          <w:szCs w:val="28"/>
        </w:rPr>
      </w:pPr>
      <w:r w:rsidRPr="00332FD2">
        <w:rPr>
          <w:rFonts w:ascii="宋体" w:hAnsi="宋体"/>
          <w:sz w:val="28"/>
          <w:szCs w:val="28"/>
        </w:rPr>
        <w:t>2018年一季度，我国境内投资者共对全球140个国家和地区的2023家境外企业进行了非金融类直接投资，累计实现投资255亿美元，同比增长24.1%</w:t>
      </w:r>
      <w:r w:rsidRPr="00332FD2">
        <w:rPr>
          <w:rFonts w:ascii="宋体" w:hAnsi="宋体" w:hint="eastAsia"/>
          <w:sz w:val="28"/>
          <w:szCs w:val="28"/>
        </w:rPr>
        <w:t>。</w:t>
      </w:r>
    </w:p>
    <w:p w:rsidR="009D28FF" w:rsidRPr="00332FD2" w:rsidRDefault="009D28FF" w:rsidP="009D28FF">
      <w:pPr>
        <w:rPr>
          <w:rFonts w:ascii="宋体" w:hAnsi="宋体"/>
          <w:sz w:val="28"/>
          <w:szCs w:val="28"/>
        </w:rPr>
      </w:pPr>
      <w:r w:rsidRPr="00332FD2">
        <w:rPr>
          <w:noProof/>
          <w:sz w:val="28"/>
          <w:szCs w:val="28"/>
        </w:rPr>
        <w:drawing>
          <wp:inline distT="0" distB="0" distL="0" distR="0">
            <wp:extent cx="5274310" cy="2776220"/>
            <wp:effectExtent l="0" t="0" r="2540" b="5080"/>
            <wp:docPr id="10" name="图表 4">
              <a:extLst xmlns:a="http://schemas.openxmlformats.org/drawingml/2006/main">
                <a:ext uri="{FF2B5EF4-FFF2-40B4-BE49-F238E27FC236}">
                  <a16:creationId xmlns:a16="http://schemas.microsoft.com/office/drawing/2014/main" id="{D1C403CC-0FF1-495F-8EDA-5C50D9EA61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D28FF" w:rsidRPr="00332FD2" w:rsidRDefault="009D28FF" w:rsidP="009D28FF">
      <w:pPr>
        <w:spacing w:line="360" w:lineRule="auto"/>
        <w:rPr>
          <w:rFonts w:ascii="宋体"/>
          <w:b/>
          <w:sz w:val="28"/>
          <w:szCs w:val="28"/>
        </w:rPr>
      </w:pPr>
      <w:r w:rsidRPr="00332FD2">
        <w:rPr>
          <w:rFonts w:ascii="宋体" w:hAnsi="宋体"/>
          <w:b/>
          <w:sz w:val="28"/>
          <w:szCs w:val="28"/>
        </w:rPr>
        <w:t>3.</w:t>
      </w:r>
      <w:r w:rsidRPr="00332FD2">
        <w:rPr>
          <w:rFonts w:ascii="宋体" w:hAnsi="宋体" w:hint="eastAsia"/>
          <w:b/>
          <w:sz w:val="28"/>
          <w:szCs w:val="28"/>
        </w:rPr>
        <w:t>一般公共预算收大于支  土地出让金超速增长</w:t>
      </w:r>
    </w:p>
    <w:p w:rsidR="009D28FF" w:rsidRPr="00332FD2" w:rsidRDefault="009D28FF" w:rsidP="009D28FF">
      <w:pPr>
        <w:rPr>
          <w:rFonts w:ascii="宋体" w:hAnsi="宋体"/>
          <w:sz w:val="28"/>
          <w:szCs w:val="28"/>
        </w:rPr>
      </w:pPr>
    </w:p>
    <w:p w:rsidR="009D28FF" w:rsidRPr="00332FD2" w:rsidRDefault="009D28FF" w:rsidP="009D28FF">
      <w:pPr>
        <w:ind w:firstLineChars="200" w:firstLine="560"/>
        <w:rPr>
          <w:rFonts w:ascii="宋体" w:hAnsi="宋体"/>
          <w:sz w:val="28"/>
          <w:szCs w:val="28"/>
        </w:rPr>
      </w:pPr>
      <w:r w:rsidRPr="00332FD2">
        <w:rPr>
          <w:rFonts w:ascii="宋体" w:hAnsi="宋体"/>
          <w:sz w:val="28"/>
          <w:szCs w:val="28"/>
        </w:rPr>
        <w:t>1-2月累计，全国一般公共预算收入36553亿元，同比增长15.8%。其中，中央一般公共预算收入18220亿元，同比增长19.1%；地方一般公共预算本级收入18333亿元，同比增长12.7%。全国一般公共预算收入中的税收收入32952亿元，同比增长18.4%；非税收入3601</w:t>
      </w:r>
      <w:r w:rsidRPr="00332FD2">
        <w:rPr>
          <w:rFonts w:ascii="宋体" w:hAnsi="宋体"/>
          <w:sz w:val="28"/>
          <w:szCs w:val="28"/>
        </w:rPr>
        <w:lastRenderedPageBreak/>
        <w:t>亿元，同比下降3.5%。</w:t>
      </w:r>
    </w:p>
    <w:p w:rsidR="009D28FF" w:rsidRPr="00332FD2" w:rsidRDefault="009D28FF" w:rsidP="009D28FF">
      <w:pPr>
        <w:ind w:firstLineChars="200" w:firstLine="560"/>
        <w:rPr>
          <w:rFonts w:ascii="宋体" w:hAnsi="宋体"/>
          <w:sz w:val="28"/>
          <w:szCs w:val="28"/>
        </w:rPr>
      </w:pPr>
      <w:r w:rsidRPr="00332FD2">
        <w:rPr>
          <w:rFonts w:ascii="宋体" w:hAnsi="宋体"/>
          <w:sz w:val="28"/>
          <w:szCs w:val="28"/>
        </w:rPr>
        <w:t>1-2月累计，全国一般公共预算支出29062亿元，同比增长16.7%。其中，中央一般公共预算本级支出3534亿元，同比增长3.9%；地方一般公共预算支出25528亿元，同比增长18.8%。 </w:t>
      </w:r>
    </w:p>
    <w:p w:rsidR="009D28FF" w:rsidRPr="00332FD2" w:rsidRDefault="009D28FF" w:rsidP="009D28FF">
      <w:pPr>
        <w:ind w:firstLineChars="200" w:firstLine="560"/>
        <w:rPr>
          <w:rFonts w:ascii="宋体" w:hAnsi="宋体"/>
          <w:sz w:val="28"/>
          <w:szCs w:val="28"/>
        </w:rPr>
      </w:pPr>
      <w:r w:rsidRPr="00332FD2">
        <w:rPr>
          <w:rFonts w:ascii="宋体" w:hAnsi="宋体"/>
          <w:sz w:val="28"/>
          <w:szCs w:val="28"/>
        </w:rPr>
        <w:t>1-2月累计，全国政府性基金预算收入9671亿元，同比增长33.3%。分中央和地方看，中央政府性基金预算收入583亿元，同比下降3.3%；地方政府性基金预算本级收入9088亿元，同比增长36.7%，其中国有土地使用权出让收入8499亿元，同比增长38.9%。 </w:t>
      </w:r>
    </w:p>
    <w:p w:rsidR="009D28FF" w:rsidRPr="00332FD2" w:rsidRDefault="009D28FF" w:rsidP="009D28FF">
      <w:pPr>
        <w:ind w:firstLineChars="200" w:firstLine="560"/>
        <w:rPr>
          <w:rFonts w:ascii="宋体" w:hAnsi="宋体"/>
          <w:sz w:val="28"/>
          <w:szCs w:val="28"/>
        </w:rPr>
      </w:pPr>
      <w:r w:rsidRPr="00332FD2">
        <w:rPr>
          <w:rFonts w:ascii="宋体" w:hAnsi="宋体"/>
          <w:sz w:val="28"/>
          <w:szCs w:val="28"/>
        </w:rPr>
        <w:t>1-2月累计，全国政府性基金预算支出6828亿元，同比增长60.2%。分中央和地方看，中央政府性基金预算本级支出44亿元，同比下降66%；地方政府性基金预算相关支出6784亿元，同比增长64.2%，其中国有土地使用权出让收入相关支出6224亿元，同比增长67%。 </w:t>
      </w:r>
    </w:p>
    <w:p w:rsidR="009D28FF" w:rsidRPr="00332FD2" w:rsidRDefault="009D28FF" w:rsidP="009D28FF">
      <w:pPr>
        <w:rPr>
          <w:rFonts w:ascii="宋体" w:hAnsi="宋体"/>
          <w:sz w:val="28"/>
          <w:szCs w:val="28"/>
        </w:rPr>
      </w:pPr>
    </w:p>
    <w:p w:rsidR="009D28FF" w:rsidRPr="00332FD2" w:rsidRDefault="009D28FF" w:rsidP="009D28FF">
      <w:pPr>
        <w:spacing w:line="360" w:lineRule="auto"/>
        <w:rPr>
          <w:rFonts w:ascii="宋体"/>
          <w:b/>
          <w:sz w:val="28"/>
          <w:szCs w:val="28"/>
        </w:rPr>
      </w:pPr>
      <w:r w:rsidRPr="00332FD2">
        <w:rPr>
          <w:rFonts w:ascii="宋体" w:hAnsi="宋体"/>
          <w:b/>
          <w:sz w:val="28"/>
          <w:szCs w:val="28"/>
        </w:rPr>
        <w:t>4.</w:t>
      </w:r>
      <w:r w:rsidRPr="00332FD2">
        <w:rPr>
          <w:rFonts w:ascii="宋体" w:hAnsi="宋体" w:hint="eastAsia"/>
          <w:b/>
          <w:sz w:val="28"/>
          <w:szCs w:val="28"/>
        </w:rPr>
        <w:t>货币供应增长趋缓  贷款增速仍然不低</w:t>
      </w:r>
    </w:p>
    <w:p w:rsidR="009D28FF" w:rsidRPr="00332FD2" w:rsidRDefault="009D28FF" w:rsidP="009D28FF">
      <w:pPr>
        <w:rPr>
          <w:rFonts w:ascii="宋体" w:hAnsi="宋体"/>
          <w:sz w:val="28"/>
          <w:szCs w:val="28"/>
        </w:rPr>
      </w:pPr>
    </w:p>
    <w:p w:rsidR="009D28FF" w:rsidRPr="00332FD2" w:rsidRDefault="009D28FF" w:rsidP="009D28FF">
      <w:pPr>
        <w:ind w:firstLineChars="200" w:firstLine="560"/>
        <w:rPr>
          <w:rFonts w:ascii="宋体" w:hAnsi="宋体"/>
          <w:sz w:val="28"/>
          <w:szCs w:val="28"/>
        </w:rPr>
      </w:pPr>
      <w:r w:rsidRPr="00332FD2">
        <w:rPr>
          <w:rFonts w:ascii="宋体" w:hAnsi="宋体" w:hint="eastAsia"/>
          <w:sz w:val="28"/>
          <w:szCs w:val="28"/>
        </w:rPr>
        <w:t>3月末，广义货币(M2)余额173.99万亿元,同比增长8.2%，</w:t>
      </w:r>
      <w:bookmarkStart w:id="1" w:name="OLE_LINK5"/>
      <w:bookmarkEnd w:id="1"/>
      <w:r w:rsidRPr="00332FD2">
        <w:rPr>
          <w:rFonts w:ascii="宋体" w:hAnsi="宋体" w:hint="eastAsia"/>
          <w:sz w:val="28"/>
          <w:szCs w:val="28"/>
        </w:rPr>
        <w:t>增速分别比上月末和上年同期低0.6个和1.9个百分点；狭义货币(M1)余额52.35万亿元,同比增长7.1%，增速分别比上月末和上年同期低1.4个和11.7个百分点；流通中货币(M0)余额7.27万亿元,同比增长6%。一季度净投放现金2047亿元。</w:t>
      </w:r>
    </w:p>
    <w:p w:rsidR="009D28FF" w:rsidRPr="00332FD2" w:rsidRDefault="009D28FF" w:rsidP="009D28FF">
      <w:pPr>
        <w:ind w:firstLineChars="200" w:firstLine="560"/>
        <w:rPr>
          <w:rFonts w:ascii="宋体" w:hAnsi="宋体"/>
          <w:sz w:val="28"/>
          <w:szCs w:val="28"/>
        </w:rPr>
      </w:pPr>
      <w:r w:rsidRPr="00332FD2">
        <w:rPr>
          <w:rFonts w:ascii="宋体" w:hAnsi="宋体" w:hint="eastAsia"/>
          <w:sz w:val="28"/>
          <w:szCs w:val="28"/>
        </w:rPr>
        <w:t>3月末，本外币贷款余额130.45万亿元，同比增长11.9%。一季度人民币贷款增加4.86万亿元，同比多增6339亿元；3月末，外币</w:t>
      </w:r>
      <w:r w:rsidRPr="00332FD2">
        <w:rPr>
          <w:rFonts w:ascii="宋体" w:hAnsi="宋体" w:hint="eastAsia"/>
          <w:sz w:val="28"/>
          <w:szCs w:val="28"/>
        </w:rPr>
        <w:lastRenderedPageBreak/>
        <w:t>贷款余额8704亿美元，同比增长4%。一季度外币贷款增加324亿美元，同比少增186亿美元。</w:t>
      </w:r>
    </w:p>
    <w:p w:rsidR="009D28FF" w:rsidRPr="00332FD2" w:rsidRDefault="009D28FF" w:rsidP="009D28FF">
      <w:pPr>
        <w:ind w:firstLineChars="200" w:firstLine="560"/>
        <w:rPr>
          <w:rFonts w:ascii="宋体" w:hAnsi="宋体"/>
          <w:sz w:val="28"/>
          <w:szCs w:val="28"/>
        </w:rPr>
      </w:pPr>
      <w:r w:rsidRPr="00332FD2">
        <w:rPr>
          <w:rFonts w:ascii="宋体" w:hAnsi="宋体" w:hint="eastAsia"/>
          <w:sz w:val="28"/>
          <w:szCs w:val="28"/>
        </w:rPr>
        <w:t>3月末，本外币存款余额174.44万亿元，同比增长8.4%。一季度人民币存款增加5.06万亿元，同比多增77亿元。3月末，外币存款余额8368亿美元，同比增长8.4%。一季度外币存款增加459亿美元，同比少增133亿美元。</w:t>
      </w:r>
    </w:p>
    <w:p w:rsidR="009D28FF" w:rsidRPr="00332FD2" w:rsidRDefault="009D28FF" w:rsidP="009D28FF">
      <w:pPr>
        <w:rPr>
          <w:rFonts w:ascii="宋体" w:hAnsi="宋体"/>
          <w:sz w:val="28"/>
          <w:szCs w:val="28"/>
        </w:rPr>
      </w:pPr>
    </w:p>
    <w:p w:rsidR="009D28FF" w:rsidRPr="00332FD2" w:rsidRDefault="009D28FF" w:rsidP="009D28FF">
      <w:pPr>
        <w:spacing w:line="360" w:lineRule="auto"/>
        <w:rPr>
          <w:rFonts w:ascii="宋体"/>
          <w:b/>
          <w:sz w:val="28"/>
          <w:szCs w:val="28"/>
        </w:rPr>
      </w:pPr>
      <w:r w:rsidRPr="00332FD2">
        <w:rPr>
          <w:rFonts w:ascii="宋体" w:hAnsi="宋体"/>
          <w:b/>
          <w:sz w:val="28"/>
          <w:szCs w:val="28"/>
        </w:rPr>
        <w:t>5.</w:t>
      </w:r>
      <w:r w:rsidRPr="00332FD2">
        <w:rPr>
          <w:rFonts w:ascii="宋体" w:hAnsi="宋体" w:hint="eastAsia"/>
          <w:b/>
          <w:sz w:val="28"/>
          <w:szCs w:val="28"/>
        </w:rPr>
        <w:t>货币市场日均成交大涨  月加权平均利率走高</w:t>
      </w:r>
    </w:p>
    <w:p w:rsidR="009D28FF" w:rsidRPr="00332FD2" w:rsidRDefault="009D28FF" w:rsidP="009D28FF">
      <w:pPr>
        <w:rPr>
          <w:rFonts w:ascii="宋体" w:hAnsi="宋体"/>
          <w:sz w:val="28"/>
          <w:szCs w:val="28"/>
        </w:rPr>
      </w:pPr>
    </w:p>
    <w:p w:rsidR="009D28FF" w:rsidRPr="00332FD2" w:rsidRDefault="009D28FF" w:rsidP="009D28FF">
      <w:pPr>
        <w:ind w:firstLineChars="200" w:firstLine="560"/>
        <w:rPr>
          <w:rFonts w:ascii="宋体" w:hAnsi="宋体"/>
          <w:sz w:val="28"/>
          <w:szCs w:val="28"/>
        </w:rPr>
      </w:pPr>
      <w:r w:rsidRPr="00332FD2">
        <w:rPr>
          <w:rFonts w:ascii="宋体" w:hAnsi="宋体" w:hint="eastAsia"/>
          <w:sz w:val="28"/>
          <w:szCs w:val="28"/>
        </w:rPr>
        <w:t>一季度银行间人民币市场以拆借、现券和回购方式合计成交219.73万亿元，日均成交3.6万亿元，日均成交比上年同期增长31.2%。其中，同业拆借日均成交同比增长47.3%，现券日均成交同比增长17.8%，质押式回购日均成交同比增长32.1%。</w:t>
      </w:r>
    </w:p>
    <w:p w:rsidR="009D28FF" w:rsidRPr="00332FD2" w:rsidRDefault="009D28FF" w:rsidP="009D28FF">
      <w:pPr>
        <w:ind w:firstLineChars="200" w:firstLine="560"/>
        <w:rPr>
          <w:rFonts w:ascii="宋体" w:hAnsi="宋体"/>
          <w:sz w:val="28"/>
          <w:szCs w:val="28"/>
        </w:rPr>
      </w:pPr>
      <w:r w:rsidRPr="00332FD2">
        <w:rPr>
          <w:rFonts w:ascii="宋体" w:hAnsi="宋体" w:hint="eastAsia"/>
          <w:sz w:val="28"/>
          <w:szCs w:val="28"/>
        </w:rPr>
        <w:t>3月份同业拆借加权平均利率为2.74%，分别比上月和上年同期高0.01个和0.12个百分点；质押式回购加权平均利率为2.9%，分别比上月和上年同期高0.03个和0.06个百分点。</w:t>
      </w:r>
    </w:p>
    <w:p w:rsidR="009D28FF" w:rsidRPr="00332FD2" w:rsidRDefault="009D28FF" w:rsidP="009D28FF">
      <w:pPr>
        <w:rPr>
          <w:rFonts w:ascii="宋体" w:hAnsi="宋体"/>
          <w:sz w:val="28"/>
          <w:szCs w:val="28"/>
        </w:rPr>
      </w:pPr>
    </w:p>
    <w:p w:rsidR="009D28FF" w:rsidRPr="00332FD2" w:rsidRDefault="009D28FF" w:rsidP="009D28FF">
      <w:pPr>
        <w:spacing w:line="360" w:lineRule="auto"/>
        <w:rPr>
          <w:rFonts w:ascii="宋体" w:hAnsi="宋体"/>
          <w:b/>
          <w:sz w:val="28"/>
          <w:szCs w:val="28"/>
        </w:rPr>
      </w:pPr>
      <w:r w:rsidRPr="00332FD2">
        <w:rPr>
          <w:rFonts w:ascii="宋体" w:hAnsi="宋体" w:hint="eastAsia"/>
          <w:b/>
          <w:sz w:val="28"/>
          <w:szCs w:val="28"/>
        </w:rPr>
        <w:t>6.A股市场波动较大  股指跟跌不跟涨</w:t>
      </w:r>
    </w:p>
    <w:p w:rsidR="009D28FF" w:rsidRPr="00332FD2" w:rsidRDefault="009D28FF" w:rsidP="009D28FF">
      <w:pPr>
        <w:spacing w:line="360" w:lineRule="auto"/>
        <w:ind w:firstLineChars="200" w:firstLine="560"/>
        <w:rPr>
          <w:rFonts w:ascii="宋体" w:hAnsi="宋体" w:cs="Helvetica"/>
          <w:color w:val="333333"/>
          <w:sz w:val="28"/>
          <w:szCs w:val="28"/>
        </w:rPr>
      </w:pPr>
      <w:r w:rsidRPr="00332FD2">
        <w:rPr>
          <w:rFonts w:ascii="宋体" w:hAnsi="宋体" w:cs="Helvetica"/>
          <w:color w:val="333333"/>
          <w:sz w:val="28"/>
          <w:szCs w:val="28"/>
        </w:rPr>
        <w:t>一季度</w:t>
      </w:r>
      <w:r w:rsidRPr="00332FD2">
        <w:rPr>
          <w:rFonts w:ascii="宋体" w:hAnsi="宋体" w:cs="Helvetica" w:hint="eastAsia"/>
          <w:color w:val="333333"/>
          <w:sz w:val="28"/>
          <w:szCs w:val="28"/>
        </w:rPr>
        <w:t>开盘后，</w:t>
      </w:r>
      <w:r w:rsidRPr="00332FD2">
        <w:rPr>
          <w:rFonts w:ascii="宋体" w:hAnsi="宋体" w:cs="Helvetica"/>
          <w:color w:val="333333"/>
          <w:sz w:val="28"/>
          <w:szCs w:val="28"/>
        </w:rPr>
        <w:t>A股</w:t>
      </w:r>
      <w:r w:rsidRPr="00332FD2">
        <w:rPr>
          <w:rFonts w:ascii="宋体" w:hAnsi="宋体" w:cs="Helvetica" w:hint="eastAsia"/>
          <w:color w:val="333333"/>
          <w:sz w:val="28"/>
          <w:szCs w:val="28"/>
        </w:rPr>
        <w:t>呈上涨之势至1月末，然后快速下跌，</w:t>
      </w:r>
      <w:r w:rsidRPr="00332FD2">
        <w:rPr>
          <w:rFonts w:ascii="宋体" w:hAnsi="宋体" w:cs="Helvetica"/>
          <w:color w:val="333333"/>
          <w:sz w:val="28"/>
          <w:szCs w:val="28"/>
        </w:rPr>
        <w:t>市场</w:t>
      </w:r>
      <w:r w:rsidRPr="00332FD2">
        <w:rPr>
          <w:rFonts w:ascii="宋体" w:hAnsi="宋体" w:cs="Helvetica" w:hint="eastAsia"/>
          <w:color w:val="333333"/>
          <w:sz w:val="28"/>
          <w:szCs w:val="28"/>
        </w:rPr>
        <w:t>波动较大，上证指数最高3</w:t>
      </w:r>
      <w:r w:rsidRPr="00332FD2">
        <w:rPr>
          <w:rFonts w:ascii="宋体" w:hAnsi="宋体" w:cs="Helvetica"/>
          <w:color w:val="333333"/>
          <w:sz w:val="28"/>
          <w:szCs w:val="28"/>
        </w:rPr>
        <w:t>587</w:t>
      </w:r>
      <w:r w:rsidRPr="00332FD2">
        <w:rPr>
          <w:rFonts w:ascii="宋体" w:hAnsi="宋体" w:cs="Helvetica" w:hint="eastAsia"/>
          <w:color w:val="333333"/>
          <w:sz w:val="28"/>
          <w:szCs w:val="28"/>
        </w:rPr>
        <w:t>点，最低3</w:t>
      </w:r>
      <w:r w:rsidRPr="00332FD2">
        <w:rPr>
          <w:rFonts w:ascii="宋体" w:hAnsi="宋体" w:cs="Helvetica"/>
          <w:color w:val="333333"/>
          <w:sz w:val="28"/>
          <w:szCs w:val="28"/>
        </w:rPr>
        <w:t>062</w:t>
      </w:r>
      <w:r w:rsidRPr="00332FD2">
        <w:rPr>
          <w:rFonts w:ascii="宋体" w:hAnsi="宋体" w:cs="Helvetica" w:hint="eastAsia"/>
          <w:color w:val="333333"/>
          <w:sz w:val="28"/>
          <w:szCs w:val="28"/>
        </w:rPr>
        <w:t>点，振幅为17</w:t>
      </w:r>
      <w:r w:rsidRPr="00332FD2">
        <w:rPr>
          <w:rFonts w:ascii="宋体" w:hAnsi="宋体" w:cs="Helvetica"/>
          <w:color w:val="333333"/>
          <w:sz w:val="28"/>
          <w:szCs w:val="28"/>
        </w:rPr>
        <w:t>%，</w:t>
      </w:r>
      <w:r w:rsidRPr="00332FD2">
        <w:rPr>
          <w:rFonts w:ascii="宋体" w:hAnsi="宋体" w:cs="Helvetica" w:hint="eastAsia"/>
          <w:color w:val="333333"/>
          <w:sz w:val="28"/>
          <w:szCs w:val="28"/>
        </w:rPr>
        <w:t>高于去年全年1</w:t>
      </w:r>
      <w:r w:rsidRPr="00332FD2">
        <w:rPr>
          <w:rFonts w:ascii="宋体" w:hAnsi="宋体" w:cs="Helvetica"/>
          <w:color w:val="333333"/>
          <w:sz w:val="28"/>
          <w:szCs w:val="28"/>
        </w:rPr>
        <w:t>4%</w:t>
      </w:r>
      <w:r w:rsidRPr="00332FD2">
        <w:rPr>
          <w:rFonts w:ascii="宋体" w:hAnsi="宋体" w:cs="Helvetica" w:hint="eastAsia"/>
          <w:color w:val="333333"/>
          <w:sz w:val="28"/>
          <w:szCs w:val="28"/>
        </w:rPr>
        <w:t>的振幅。板块分歧较大，上证综指</w:t>
      </w:r>
      <w:r w:rsidRPr="00332FD2">
        <w:rPr>
          <w:rFonts w:ascii="宋体" w:hAnsi="宋体" w:cs="Helvetica"/>
          <w:color w:val="333333"/>
          <w:sz w:val="28"/>
          <w:szCs w:val="28"/>
        </w:rPr>
        <w:t>下跌4.18%</w:t>
      </w:r>
      <w:r w:rsidRPr="00332FD2">
        <w:rPr>
          <w:rFonts w:ascii="宋体" w:hAnsi="宋体" w:cs="Helvetica" w:hint="eastAsia"/>
          <w:color w:val="333333"/>
          <w:sz w:val="28"/>
          <w:szCs w:val="28"/>
        </w:rPr>
        <w:t>，</w:t>
      </w:r>
      <w:r w:rsidRPr="00332FD2">
        <w:rPr>
          <w:rFonts w:ascii="宋体" w:hAnsi="宋体" w:cs="Helvetica"/>
          <w:color w:val="333333"/>
          <w:sz w:val="28"/>
          <w:szCs w:val="28"/>
        </w:rPr>
        <w:t>深证指数下跌1.56%，中小板指数下跌1.47%，创业板指数上涨8.43%，创</w:t>
      </w:r>
      <w:r w:rsidRPr="00332FD2">
        <w:rPr>
          <w:rFonts w:ascii="宋体" w:hAnsi="宋体" w:cs="Helvetica"/>
          <w:color w:val="333333"/>
          <w:sz w:val="28"/>
          <w:szCs w:val="28"/>
        </w:rPr>
        <w:lastRenderedPageBreak/>
        <w:t>业板50指数上涨10.04%。</w:t>
      </w:r>
    </w:p>
    <w:p w:rsidR="009D28FF" w:rsidRPr="00332FD2" w:rsidRDefault="009D28FF" w:rsidP="009D28FF">
      <w:pPr>
        <w:spacing w:line="360" w:lineRule="auto"/>
        <w:ind w:firstLineChars="200" w:firstLine="560"/>
        <w:rPr>
          <w:rFonts w:ascii="宋体" w:hAnsi="宋体"/>
          <w:b/>
          <w:sz w:val="28"/>
          <w:szCs w:val="28"/>
        </w:rPr>
      </w:pPr>
      <w:r w:rsidRPr="00332FD2">
        <w:rPr>
          <w:rFonts w:ascii="宋体" w:hAnsi="宋体" w:cs="Helvetica"/>
          <w:color w:val="333333"/>
          <w:sz w:val="28"/>
          <w:szCs w:val="28"/>
        </w:rPr>
        <w:t>第一季度全球</w:t>
      </w:r>
      <w:r w:rsidRPr="00332FD2">
        <w:rPr>
          <w:rFonts w:ascii="宋体" w:hAnsi="宋体" w:cs="Helvetica" w:hint="eastAsia"/>
          <w:color w:val="333333"/>
          <w:sz w:val="28"/>
          <w:szCs w:val="28"/>
        </w:rPr>
        <w:t>股市</w:t>
      </w:r>
      <w:r w:rsidRPr="00332FD2">
        <w:rPr>
          <w:rFonts w:ascii="宋体" w:hAnsi="宋体" w:cs="Helvetica"/>
          <w:color w:val="333333"/>
          <w:sz w:val="28"/>
          <w:szCs w:val="28"/>
        </w:rPr>
        <w:t>普遍下挫，</w:t>
      </w:r>
      <w:r w:rsidRPr="00332FD2">
        <w:rPr>
          <w:rFonts w:ascii="宋体" w:hAnsi="宋体" w:cs="Helvetica" w:hint="eastAsia"/>
          <w:color w:val="333333"/>
          <w:sz w:val="28"/>
          <w:szCs w:val="28"/>
        </w:rPr>
        <w:t>美国股市经过九年的上涨周期，尤其是近一年的快速上扬后，迎来大幅度回调，道琼斯指数回调幅度达到1</w:t>
      </w:r>
      <w:r w:rsidRPr="00332FD2">
        <w:rPr>
          <w:rFonts w:ascii="宋体" w:hAnsi="宋体" w:cs="Helvetica"/>
          <w:color w:val="333333"/>
          <w:sz w:val="28"/>
          <w:szCs w:val="28"/>
        </w:rPr>
        <w:t>0%</w:t>
      </w:r>
      <w:r w:rsidRPr="00332FD2">
        <w:rPr>
          <w:rFonts w:ascii="宋体" w:hAnsi="宋体" w:cs="Helvetica" w:hint="eastAsia"/>
          <w:color w:val="333333"/>
          <w:sz w:val="28"/>
          <w:szCs w:val="28"/>
        </w:rPr>
        <w:t>。全球股市的回调直接影响到A股的大幅度下跌。国内经济持续稳定增长，但A股跟跌不跟涨，深刻反应了上市公司治理问题和资本市场的失灵。</w:t>
      </w:r>
    </w:p>
    <w:p w:rsidR="009D28FF" w:rsidRPr="00332FD2" w:rsidRDefault="009D28FF" w:rsidP="009D28FF">
      <w:pPr>
        <w:rPr>
          <w:rFonts w:ascii="宋体" w:hAnsi="宋体"/>
          <w:sz w:val="28"/>
          <w:szCs w:val="28"/>
        </w:rPr>
      </w:pPr>
      <w:r w:rsidRPr="00332FD2">
        <w:rPr>
          <w:noProof/>
          <w:sz w:val="28"/>
          <w:szCs w:val="28"/>
        </w:rPr>
        <w:drawing>
          <wp:inline distT="0" distB="0" distL="0" distR="0">
            <wp:extent cx="5029200" cy="2105025"/>
            <wp:effectExtent l="0" t="0" r="0" b="952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029200" cy="2105025"/>
                    </a:xfrm>
                    <a:prstGeom prst="rect">
                      <a:avLst/>
                    </a:prstGeom>
                  </pic:spPr>
                </pic:pic>
              </a:graphicData>
            </a:graphic>
          </wp:inline>
        </w:drawing>
      </w:r>
    </w:p>
    <w:p w:rsidR="009D28FF" w:rsidRPr="00332FD2" w:rsidRDefault="009D28FF" w:rsidP="009D28FF">
      <w:pPr>
        <w:spacing w:line="360" w:lineRule="auto"/>
        <w:rPr>
          <w:rFonts w:ascii="宋体" w:hAnsi="宋体"/>
          <w:b/>
          <w:sz w:val="28"/>
          <w:szCs w:val="28"/>
        </w:rPr>
      </w:pPr>
    </w:p>
    <w:p w:rsidR="009D28FF" w:rsidRPr="0076012B" w:rsidRDefault="009D28FF" w:rsidP="009D28FF">
      <w:pPr>
        <w:jc w:val="center"/>
        <w:rPr>
          <w:b/>
          <w:sz w:val="28"/>
          <w:szCs w:val="28"/>
        </w:rPr>
      </w:pPr>
      <w:r w:rsidRPr="0076012B">
        <w:rPr>
          <w:rFonts w:hint="eastAsia"/>
          <w:b/>
          <w:sz w:val="28"/>
          <w:szCs w:val="28"/>
        </w:rPr>
        <w:t>三，政策效应</w:t>
      </w:r>
    </w:p>
    <w:p w:rsidR="009D28FF" w:rsidRPr="00332FD2" w:rsidRDefault="009D28FF" w:rsidP="009D28FF">
      <w:pPr>
        <w:rPr>
          <w:sz w:val="28"/>
          <w:szCs w:val="28"/>
        </w:rPr>
      </w:pPr>
    </w:p>
    <w:p w:rsidR="009D28FF" w:rsidRPr="00332FD2" w:rsidRDefault="009D28FF" w:rsidP="009D28FF">
      <w:pPr>
        <w:pStyle w:val="a7"/>
        <w:numPr>
          <w:ilvl w:val="0"/>
          <w:numId w:val="3"/>
        </w:numPr>
        <w:ind w:firstLineChars="0"/>
        <w:rPr>
          <w:sz w:val="28"/>
          <w:szCs w:val="28"/>
        </w:rPr>
      </w:pPr>
      <w:r w:rsidRPr="00332FD2">
        <w:rPr>
          <w:rFonts w:hint="eastAsia"/>
          <w:sz w:val="28"/>
          <w:szCs w:val="28"/>
        </w:rPr>
        <w:t>总体观察</w:t>
      </w:r>
    </w:p>
    <w:p w:rsidR="009D28FF" w:rsidRPr="00332FD2" w:rsidRDefault="009D28FF" w:rsidP="009D28FF">
      <w:pPr>
        <w:pStyle w:val="a7"/>
        <w:ind w:left="720" w:firstLineChars="0" w:firstLine="0"/>
        <w:rPr>
          <w:sz w:val="28"/>
          <w:szCs w:val="28"/>
        </w:rPr>
      </w:pPr>
    </w:p>
    <w:p w:rsidR="009D28FF" w:rsidRPr="00332FD2" w:rsidRDefault="009D28FF" w:rsidP="009D28FF">
      <w:pPr>
        <w:ind w:firstLine="540"/>
        <w:rPr>
          <w:sz w:val="28"/>
          <w:szCs w:val="28"/>
        </w:rPr>
      </w:pPr>
      <w:r w:rsidRPr="00332FD2">
        <w:rPr>
          <w:rFonts w:hint="eastAsia"/>
          <w:sz w:val="28"/>
          <w:szCs w:val="28"/>
        </w:rPr>
        <w:t>今年第</w:t>
      </w:r>
      <w:r w:rsidRPr="00332FD2">
        <w:rPr>
          <w:rFonts w:hint="eastAsia"/>
          <w:sz w:val="28"/>
          <w:szCs w:val="28"/>
        </w:rPr>
        <w:t>1</w:t>
      </w:r>
      <w:r w:rsidRPr="00332FD2">
        <w:rPr>
          <w:rFonts w:hint="eastAsia"/>
          <w:sz w:val="28"/>
          <w:szCs w:val="28"/>
        </w:rPr>
        <w:t>季度，中国经济增长</w:t>
      </w:r>
      <w:r w:rsidRPr="00332FD2">
        <w:rPr>
          <w:rFonts w:hint="eastAsia"/>
          <w:sz w:val="28"/>
          <w:szCs w:val="28"/>
        </w:rPr>
        <w:t>6.8%</w:t>
      </w:r>
      <w:r w:rsidRPr="00332FD2">
        <w:rPr>
          <w:rFonts w:hint="eastAsia"/>
          <w:sz w:val="28"/>
          <w:szCs w:val="28"/>
        </w:rPr>
        <w:t>，与上年第</w:t>
      </w:r>
      <w:r w:rsidRPr="00332FD2">
        <w:rPr>
          <w:rFonts w:hint="eastAsia"/>
          <w:sz w:val="28"/>
          <w:szCs w:val="28"/>
        </w:rPr>
        <w:t>4</w:t>
      </w:r>
      <w:r w:rsidRPr="00332FD2">
        <w:rPr>
          <w:rFonts w:hint="eastAsia"/>
          <w:sz w:val="28"/>
          <w:szCs w:val="28"/>
        </w:rPr>
        <w:t>季度持平，已经连续</w:t>
      </w:r>
      <w:r w:rsidRPr="00332FD2">
        <w:rPr>
          <w:rFonts w:hint="eastAsia"/>
          <w:sz w:val="28"/>
          <w:szCs w:val="28"/>
        </w:rPr>
        <w:t>11</w:t>
      </w:r>
      <w:r w:rsidRPr="00332FD2">
        <w:rPr>
          <w:rFonts w:hint="eastAsia"/>
          <w:sz w:val="28"/>
          <w:szCs w:val="28"/>
        </w:rPr>
        <w:t>个季度保持在</w:t>
      </w:r>
      <w:r w:rsidRPr="00332FD2">
        <w:rPr>
          <w:rFonts w:hint="eastAsia"/>
          <w:sz w:val="28"/>
          <w:szCs w:val="28"/>
        </w:rPr>
        <w:t>6.7-6.9%</w:t>
      </w:r>
      <w:r w:rsidRPr="00332FD2">
        <w:rPr>
          <w:rFonts w:hint="eastAsia"/>
          <w:sz w:val="28"/>
          <w:szCs w:val="28"/>
        </w:rPr>
        <w:t>区间，呈现出一种超稳定的态势。国家统计局发言人用如下的话概括：前瞻未来，国际环境不确定性上升，国内发展不平衡不充分问题仍然突出。但是，支撑经济迈向高质量发展的有利条件不断积累增多，中国经济实力强、潜力足、韧性好、回旋余地大，中国经济将继续保持稳中向好态势。此议有一定道理，</w:t>
      </w:r>
      <w:r w:rsidRPr="00332FD2">
        <w:rPr>
          <w:rFonts w:hint="eastAsia"/>
          <w:sz w:val="28"/>
          <w:szCs w:val="28"/>
        </w:rPr>
        <w:lastRenderedPageBreak/>
        <w:t>也利于增强人们的信心，但对不平衡不充分的问题未具体提及，</w:t>
      </w:r>
      <w:r w:rsidR="0076012B">
        <w:rPr>
          <w:rFonts w:hint="eastAsia"/>
          <w:sz w:val="28"/>
          <w:szCs w:val="28"/>
        </w:rPr>
        <w:t>也没有指出我们制度结构和政策安排中不适应不合理的问题，</w:t>
      </w:r>
      <w:r w:rsidRPr="00332FD2">
        <w:rPr>
          <w:rFonts w:hint="eastAsia"/>
          <w:sz w:val="28"/>
          <w:szCs w:val="28"/>
        </w:rPr>
        <w:t>这却是需要我们更多关注和更加用力去解决的问题。</w:t>
      </w:r>
    </w:p>
    <w:p w:rsidR="009D28FF" w:rsidRPr="00332FD2" w:rsidRDefault="009D28FF" w:rsidP="009D28FF">
      <w:pPr>
        <w:ind w:firstLine="540"/>
        <w:rPr>
          <w:sz w:val="28"/>
          <w:szCs w:val="28"/>
        </w:rPr>
      </w:pPr>
      <w:r w:rsidRPr="00332FD2">
        <w:rPr>
          <w:rFonts w:hint="eastAsia"/>
          <w:sz w:val="28"/>
          <w:szCs w:val="28"/>
        </w:rPr>
        <w:t>规模以上工业增加值增长</w:t>
      </w:r>
      <w:r w:rsidRPr="00332FD2">
        <w:rPr>
          <w:rFonts w:hint="eastAsia"/>
          <w:sz w:val="28"/>
          <w:szCs w:val="28"/>
        </w:rPr>
        <w:t>6.8%</w:t>
      </w:r>
      <w:r w:rsidRPr="00332FD2">
        <w:rPr>
          <w:rFonts w:hint="eastAsia"/>
          <w:sz w:val="28"/>
          <w:szCs w:val="28"/>
        </w:rPr>
        <w:t>，与上年同期持平。其中，战略性新兴产业增加值增长</w:t>
      </w:r>
      <w:r w:rsidRPr="00332FD2">
        <w:rPr>
          <w:rFonts w:hint="eastAsia"/>
          <w:sz w:val="28"/>
          <w:szCs w:val="28"/>
        </w:rPr>
        <w:t>9.6%</w:t>
      </w:r>
      <w:r w:rsidRPr="00332FD2">
        <w:rPr>
          <w:rFonts w:hint="eastAsia"/>
          <w:sz w:val="28"/>
          <w:szCs w:val="28"/>
        </w:rPr>
        <w:t>，继续保持了快于工业增加值的势头，说明经济增长的动能正在转换。但工业增加值中，增长最快的是国有及国有控股部门，增长</w:t>
      </w:r>
      <w:r w:rsidRPr="00332FD2">
        <w:rPr>
          <w:rFonts w:hint="eastAsia"/>
          <w:sz w:val="28"/>
          <w:szCs w:val="28"/>
        </w:rPr>
        <w:t>7.9%</w:t>
      </w:r>
      <w:r w:rsidRPr="00332FD2">
        <w:rPr>
          <w:rFonts w:hint="eastAsia"/>
          <w:sz w:val="28"/>
          <w:szCs w:val="28"/>
        </w:rPr>
        <w:t>，分别快于集体企业、股份制企业和外商及港澳台资企业</w:t>
      </w:r>
      <w:r w:rsidRPr="00332FD2">
        <w:rPr>
          <w:rFonts w:hint="eastAsia"/>
          <w:sz w:val="28"/>
          <w:szCs w:val="28"/>
        </w:rPr>
        <w:t>7.8</w:t>
      </w:r>
      <w:r w:rsidRPr="00332FD2">
        <w:rPr>
          <w:rFonts w:hint="eastAsia"/>
          <w:sz w:val="28"/>
          <w:szCs w:val="28"/>
        </w:rPr>
        <w:t>、</w:t>
      </w:r>
      <w:r w:rsidRPr="00332FD2">
        <w:rPr>
          <w:rFonts w:hint="eastAsia"/>
          <w:sz w:val="28"/>
          <w:szCs w:val="28"/>
        </w:rPr>
        <w:t>0.9</w:t>
      </w:r>
      <w:r w:rsidRPr="00332FD2">
        <w:rPr>
          <w:rFonts w:hint="eastAsia"/>
          <w:sz w:val="28"/>
          <w:szCs w:val="28"/>
        </w:rPr>
        <w:t>、</w:t>
      </w:r>
      <w:r w:rsidRPr="00332FD2">
        <w:rPr>
          <w:rFonts w:hint="eastAsia"/>
          <w:sz w:val="28"/>
          <w:szCs w:val="28"/>
        </w:rPr>
        <w:t>2.4</w:t>
      </w:r>
      <w:r w:rsidRPr="00332FD2">
        <w:rPr>
          <w:rFonts w:hint="eastAsia"/>
          <w:sz w:val="28"/>
          <w:szCs w:val="28"/>
        </w:rPr>
        <w:t>个百分点。我们既为国有部门喝彩，也为其他部门担忧。</w:t>
      </w:r>
      <w:r w:rsidR="0012330C">
        <w:rPr>
          <w:rFonts w:hint="eastAsia"/>
          <w:sz w:val="28"/>
          <w:szCs w:val="28"/>
        </w:rPr>
        <w:t>其</w:t>
      </w:r>
      <w:r w:rsidRPr="00332FD2">
        <w:rPr>
          <w:rFonts w:hint="eastAsia"/>
          <w:sz w:val="28"/>
          <w:szCs w:val="28"/>
        </w:rPr>
        <w:t>中原因值得探讨，是投资多，还是营商环境好，是特殊地位和特殊政策，还是经济效率高？搞清楚这一点，对于我们正确决策大有助益。</w:t>
      </w:r>
    </w:p>
    <w:p w:rsidR="009D28FF" w:rsidRPr="00332FD2" w:rsidRDefault="009D28FF" w:rsidP="009D28FF">
      <w:pPr>
        <w:ind w:firstLine="540"/>
        <w:rPr>
          <w:sz w:val="28"/>
          <w:szCs w:val="28"/>
        </w:rPr>
      </w:pPr>
      <w:r w:rsidRPr="00332FD2">
        <w:rPr>
          <w:rFonts w:hint="eastAsia"/>
          <w:sz w:val="28"/>
          <w:szCs w:val="28"/>
        </w:rPr>
        <w:t>投资和消费的增速均比上年同期有所回落，前者回落（</w:t>
      </w:r>
      <w:r w:rsidRPr="00332FD2">
        <w:rPr>
          <w:rFonts w:hint="eastAsia"/>
          <w:sz w:val="28"/>
          <w:szCs w:val="28"/>
        </w:rPr>
        <w:t>1.7</w:t>
      </w:r>
      <w:r w:rsidRPr="00332FD2">
        <w:rPr>
          <w:rFonts w:hint="eastAsia"/>
          <w:sz w:val="28"/>
          <w:szCs w:val="28"/>
        </w:rPr>
        <w:t>个百分点）明显超过后者（</w:t>
      </w:r>
      <w:r w:rsidRPr="00332FD2">
        <w:rPr>
          <w:rFonts w:hint="eastAsia"/>
          <w:sz w:val="28"/>
          <w:szCs w:val="28"/>
        </w:rPr>
        <w:t>0.2</w:t>
      </w:r>
      <w:r w:rsidRPr="00332FD2">
        <w:rPr>
          <w:rFonts w:hint="eastAsia"/>
          <w:sz w:val="28"/>
          <w:szCs w:val="28"/>
        </w:rPr>
        <w:t>个百分点），致使消费对经济增长的贡献由去年全年的</w:t>
      </w:r>
      <w:r w:rsidRPr="00332FD2">
        <w:rPr>
          <w:rFonts w:hint="eastAsia"/>
          <w:sz w:val="28"/>
          <w:szCs w:val="28"/>
        </w:rPr>
        <w:t>58.8%</w:t>
      </w:r>
      <w:r w:rsidRPr="00332FD2">
        <w:rPr>
          <w:rFonts w:hint="eastAsia"/>
          <w:sz w:val="28"/>
          <w:szCs w:val="28"/>
        </w:rPr>
        <w:t>提高到</w:t>
      </w:r>
      <w:r w:rsidRPr="00332FD2">
        <w:rPr>
          <w:rFonts w:hint="eastAsia"/>
          <w:sz w:val="28"/>
          <w:szCs w:val="28"/>
        </w:rPr>
        <w:t>77.8%</w:t>
      </w:r>
      <w:r w:rsidRPr="00332FD2">
        <w:rPr>
          <w:rFonts w:hint="eastAsia"/>
          <w:sz w:val="28"/>
          <w:szCs w:val="28"/>
        </w:rPr>
        <w:t>，突显了稳定消费的重大作用。特别是预测今年消费品零售额有可能达</w:t>
      </w:r>
      <w:r w:rsidRPr="00332FD2">
        <w:rPr>
          <w:rFonts w:hint="eastAsia"/>
          <w:sz w:val="28"/>
          <w:szCs w:val="28"/>
        </w:rPr>
        <w:t>40.4</w:t>
      </w:r>
      <w:r w:rsidRPr="00332FD2">
        <w:rPr>
          <w:rFonts w:hint="eastAsia"/>
          <w:sz w:val="28"/>
          <w:szCs w:val="28"/>
        </w:rPr>
        <w:t>万亿元，超过美国成为全球最大的零售市场。不过，按人均消费来看，也只有美国的</w:t>
      </w:r>
      <w:r w:rsidRPr="00332FD2">
        <w:rPr>
          <w:rFonts w:hint="eastAsia"/>
          <w:sz w:val="28"/>
          <w:szCs w:val="28"/>
        </w:rPr>
        <w:t>1/4</w:t>
      </w:r>
      <w:r w:rsidRPr="00332FD2">
        <w:rPr>
          <w:rFonts w:hint="eastAsia"/>
          <w:sz w:val="28"/>
          <w:szCs w:val="28"/>
        </w:rPr>
        <w:t>左右，预示着还有很大的增长空间。怎么提升消费水平仍然是我国经济发展中的重大问题。用限额以上单位化妆品类、家电和音响类商品的较快增长来说明消费升级，也许不如用服务消费的增长（服务业占比和贡献分别为</w:t>
      </w:r>
      <w:r w:rsidRPr="00332FD2">
        <w:rPr>
          <w:rFonts w:hint="eastAsia"/>
          <w:sz w:val="28"/>
          <w:szCs w:val="28"/>
        </w:rPr>
        <w:t>55.6%</w:t>
      </w:r>
      <w:r w:rsidRPr="00332FD2">
        <w:rPr>
          <w:rFonts w:hint="eastAsia"/>
          <w:sz w:val="28"/>
          <w:szCs w:val="28"/>
        </w:rPr>
        <w:t>和</w:t>
      </w:r>
      <w:r w:rsidRPr="00332FD2">
        <w:rPr>
          <w:rFonts w:hint="eastAsia"/>
          <w:sz w:val="28"/>
          <w:szCs w:val="28"/>
        </w:rPr>
        <w:t>61.6%</w:t>
      </w:r>
      <w:r w:rsidRPr="00332FD2">
        <w:rPr>
          <w:rFonts w:hint="eastAsia"/>
          <w:sz w:val="28"/>
          <w:szCs w:val="28"/>
        </w:rPr>
        <w:t>，分别比上年提高</w:t>
      </w:r>
      <w:r w:rsidRPr="00332FD2">
        <w:rPr>
          <w:rFonts w:hint="eastAsia"/>
          <w:sz w:val="28"/>
          <w:szCs w:val="28"/>
        </w:rPr>
        <w:t>5</w:t>
      </w:r>
      <w:r w:rsidRPr="00332FD2">
        <w:rPr>
          <w:rFonts w:hint="eastAsia"/>
          <w:sz w:val="28"/>
          <w:szCs w:val="28"/>
        </w:rPr>
        <w:t>和</w:t>
      </w:r>
      <w:r w:rsidRPr="00332FD2">
        <w:rPr>
          <w:rFonts w:hint="eastAsia"/>
          <w:sz w:val="28"/>
          <w:szCs w:val="28"/>
        </w:rPr>
        <w:t>2.8</w:t>
      </w:r>
      <w:r w:rsidRPr="00332FD2">
        <w:rPr>
          <w:rFonts w:hint="eastAsia"/>
          <w:sz w:val="28"/>
          <w:szCs w:val="28"/>
        </w:rPr>
        <w:t>个百分点）更恰当、更有力。特别是长期以来我们依靠债务驱动的投资和出口来推动经济增长，随着降杠杆和化解金融风险的进行以及中美贸易摩擦影响</w:t>
      </w:r>
      <w:r w:rsidRPr="00332FD2">
        <w:rPr>
          <w:rFonts w:hint="eastAsia"/>
          <w:sz w:val="28"/>
          <w:szCs w:val="28"/>
        </w:rPr>
        <w:lastRenderedPageBreak/>
        <w:t>的显现，稳定和提升消费对于整个经济的稳定增长十分关键。</w:t>
      </w:r>
    </w:p>
    <w:p w:rsidR="009D28FF" w:rsidRPr="00332FD2" w:rsidRDefault="009D28FF" w:rsidP="009D28FF">
      <w:pPr>
        <w:ind w:firstLine="540"/>
        <w:rPr>
          <w:sz w:val="28"/>
          <w:szCs w:val="28"/>
        </w:rPr>
      </w:pPr>
      <w:r w:rsidRPr="00332FD2">
        <w:rPr>
          <w:rFonts w:hint="eastAsia"/>
          <w:sz w:val="28"/>
          <w:szCs w:val="28"/>
        </w:rPr>
        <w:t>民间投资增长（</w:t>
      </w:r>
      <w:r w:rsidRPr="00332FD2">
        <w:rPr>
          <w:rFonts w:hint="eastAsia"/>
          <w:sz w:val="28"/>
          <w:szCs w:val="28"/>
        </w:rPr>
        <w:t>8.9%</w:t>
      </w:r>
      <w:r w:rsidRPr="00332FD2">
        <w:rPr>
          <w:rFonts w:hint="eastAsia"/>
          <w:sz w:val="28"/>
          <w:szCs w:val="28"/>
        </w:rPr>
        <w:t>）加快，且高于全部固定资产投资增速（</w:t>
      </w:r>
      <w:r w:rsidRPr="00332FD2">
        <w:rPr>
          <w:rFonts w:hint="eastAsia"/>
          <w:sz w:val="28"/>
          <w:szCs w:val="28"/>
        </w:rPr>
        <w:t>7.5%</w:t>
      </w:r>
      <w:r w:rsidRPr="00332FD2">
        <w:rPr>
          <w:rFonts w:hint="eastAsia"/>
          <w:sz w:val="28"/>
          <w:szCs w:val="28"/>
        </w:rPr>
        <w:t>），是一可喜现象，改变了去年低增长的情况，也是去年增速过低的反弹，关键还在于持续增长。民间投资的较快增长并未带来非国有工业的相应增长，也是值得关注的一个问题。</w:t>
      </w:r>
    </w:p>
    <w:p w:rsidR="009D28FF" w:rsidRPr="00332FD2" w:rsidRDefault="009D28FF" w:rsidP="009D28FF">
      <w:pPr>
        <w:ind w:firstLine="540"/>
        <w:rPr>
          <w:sz w:val="28"/>
          <w:szCs w:val="28"/>
        </w:rPr>
      </w:pPr>
      <w:r w:rsidRPr="00332FD2">
        <w:rPr>
          <w:rFonts w:hint="eastAsia"/>
          <w:sz w:val="28"/>
          <w:szCs w:val="28"/>
        </w:rPr>
        <w:t>进出口贸易增长</w:t>
      </w:r>
      <w:r w:rsidRPr="00332FD2">
        <w:rPr>
          <w:rFonts w:hint="eastAsia"/>
          <w:sz w:val="28"/>
          <w:szCs w:val="28"/>
        </w:rPr>
        <w:t>9.4%</w:t>
      </w:r>
      <w:r w:rsidRPr="00332FD2">
        <w:rPr>
          <w:rFonts w:hint="eastAsia"/>
          <w:sz w:val="28"/>
          <w:szCs w:val="28"/>
        </w:rPr>
        <w:t>，比恢复性增长的去年同期和全年明显回落，但速度并不低。其中出口增长（</w:t>
      </w:r>
      <w:r w:rsidRPr="00332FD2">
        <w:rPr>
          <w:rFonts w:hint="eastAsia"/>
          <w:sz w:val="28"/>
          <w:szCs w:val="28"/>
        </w:rPr>
        <w:t>7.4%</w:t>
      </w:r>
      <w:r w:rsidRPr="00332FD2">
        <w:rPr>
          <w:rFonts w:hint="eastAsia"/>
          <w:sz w:val="28"/>
          <w:szCs w:val="28"/>
        </w:rPr>
        <w:t>）慢于进口（</w:t>
      </w:r>
      <w:r w:rsidRPr="00332FD2">
        <w:rPr>
          <w:rFonts w:hint="eastAsia"/>
          <w:sz w:val="28"/>
          <w:szCs w:val="28"/>
        </w:rPr>
        <w:t>11.7%</w:t>
      </w:r>
      <w:r w:rsidRPr="00332FD2">
        <w:rPr>
          <w:rFonts w:hint="eastAsia"/>
          <w:sz w:val="28"/>
          <w:szCs w:val="28"/>
        </w:rPr>
        <w:t>），特别是</w:t>
      </w:r>
      <w:r w:rsidRPr="00332FD2">
        <w:rPr>
          <w:rFonts w:hint="eastAsia"/>
          <w:sz w:val="28"/>
          <w:szCs w:val="28"/>
        </w:rPr>
        <w:t>3</w:t>
      </w:r>
      <w:r w:rsidRPr="00332FD2">
        <w:rPr>
          <w:rFonts w:hint="eastAsia"/>
          <w:sz w:val="28"/>
          <w:szCs w:val="28"/>
        </w:rPr>
        <w:t>月份受中美贸易摩擦的影响，出口减少</w:t>
      </w:r>
      <w:r w:rsidRPr="00332FD2">
        <w:rPr>
          <w:rFonts w:hint="eastAsia"/>
          <w:sz w:val="28"/>
          <w:szCs w:val="28"/>
        </w:rPr>
        <w:t>2.7%</w:t>
      </w:r>
      <w:r w:rsidRPr="00332FD2">
        <w:rPr>
          <w:rFonts w:hint="eastAsia"/>
          <w:sz w:val="28"/>
          <w:szCs w:val="28"/>
        </w:rPr>
        <w:t>，出现逆差，致使全季贸易顺差收窄，贸易平衡有所改善</w:t>
      </w:r>
      <w:r w:rsidR="0012330C">
        <w:rPr>
          <w:rFonts w:hint="eastAsia"/>
          <w:sz w:val="28"/>
          <w:szCs w:val="28"/>
        </w:rPr>
        <w:t>，后续的情况也不容乐观</w:t>
      </w:r>
      <w:r w:rsidRPr="00332FD2">
        <w:rPr>
          <w:rFonts w:hint="eastAsia"/>
          <w:sz w:val="28"/>
          <w:szCs w:val="28"/>
        </w:rPr>
        <w:t>。</w:t>
      </w:r>
    </w:p>
    <w:p w:rsidR="009D28FF" w:rsidRPr="00332FD2" w:rsidRDefault="009D28FF" w:rsidP="009D28FF">
      <w:pPr>
        <w:ind w:firstLine="540"/>
        <w:rPr>
          <w:sz w:val="28"/>
          <w:szCs w:val="28"/>
        </w:rPr>
      </w:pPr>
      <w:r w:rsidRPr="00332FD2">
        <w:rPr>
          <w:rFonts w:hint="eastAsia"/>
          <w:sz w:val="28"/>
          <w:szCs w:val="28"/>
        </w:rPr>
        <w:t>一季度一个重要现象是，新登记企业达</w:t>
      </w:r>
      <w:r w:rsidRPr="00332FD2">
        <w:rPr>
          <w:rFonts w:hint="eastAsia"/>
          <w:sz w:val="28"/>
          <w:szCs w:val="28"/>
        </w:rPr>
        <w:t>132</w:t>
      </w:r>
      <w:r w:rsidRPr="00332FD2">
        <w:rPr>
          <w:rFonts w:hint="eastAsia"/>
          <w:sz w:val="28"/>
          <w:szCs w:val="28"/>
        </w:rPr>
        <w:t>万户，日均</w:t>
      </w:r>
      <w:r w:rsidRPr="00332FD2">
        <w:rPr>
          <w:rFonts w:hint="eastAsia"/>
          <w:sz w:val="28"/>
          <w:szCs w:val="28"/>
        </w:rPr>
        <w:t>1.47</w:t>
      </w:r>
      <w:r w:rsidRPr="00332FD2">
        <w:rPr>
          <w:rFonts w:hint="eastAsia"/>
          <w:sz w:val="28"/>
          <w:szCs w:val="28"/>
        </w:rPr>
        <w:t>万户，新的市场主体大量增加，虽只有去年日均</w:t>
      </w:r>
      <w:r w:rsidRPr="00332FD2">
        <w:rPr>
          <w:rFonts w:hint="eastAsia"/>
          <w:sz w:val="28"/>
          <w:szCs w:val="28"/>
        </w:rPr>
        <w:t>3.28</w:t>
      </w:r>
      <w:r w:rsidRPr="00332FD2">
        <w:rPr>
          <w:rFonts w:hint="eastAsia"/>
          <w:sz w:val="28"/>
          <w:szCs w:val="28"/>
        </w:rPr>
        <w:t>万个体工商户登记的一半。增长最快的领域是科技、文化、娱乐、体育和金融等服务业。其原因在于放管服改革的推进，审批手续简化，再加上新修订的公司法取消了对注册资本的要求。现在开办一家企业的时间大概需要一个月，大城市更快，有人正在上海政府办事中心排队注册一家餐饮企业，估计大约需要</w:t>
      </w:r>
      <w:r w:rsidRPr="00332FD2">
        <w:rPr>
          <w:rFonts w:hint="eastAsia"/>
          <w:sz w:val="28"/>
          <w:szCs w:val="28"/>
        </w:rPr>
        <w:t>2</w:t>
      </w:r>
      <w:r w:rsidRPr="00332FD2">
        <w:rPr>
          <w:rFonts w:hint="eastAsia"/>
          <w:sz w:val="28"/>
          <w:szCs w:val="28"/>
        </w:rPr>
        <w:t>个星期。而上海承诺，从</w:t>
      </w:r>
      <w:r w:rsidRPr="00332FD2">
        <w:rPr>
          <w:rFonts w:hint="eastAsia"/>
          <w:sz w:val="28"/>
          <w:szCs w:val="28"/>
        </w:rPr>
        <w:t>4</w:t>
      </w:r>
      <w:r w:rsidRPr="00332FD2">
        <w:rPr>
          <w:rFonts w:hint="eastAsia"/>
          <w:sz w:val="28"/>
          <w:szCs w:val="28"/>
        </w:rPr>
        <w:t>月起企业注册时间将缩短为</w:t>
      </w:r>
      <w:r w:rsidRPr="00332FD2">
        <w:rPr>
          <w:rFonts w:hint="eastAsia"/>
          <w:sz w:val="28"/>
          <w:szCs w:val="28"/>
        </w:rPr>
        <w:t>5</w:t>
      </w:r>
      <w:r w:rsidRPr="00332FD2">
        <w:rPr>
          <w:rFonts w:hint="eastAsia"/>
          <w:sz w:val="28"/>
          <w:szCs w:val="28"/>
        </w:rPr>
        <w:t>天。新注册企业的</w:t>
      </w:r>
      <w:r w:rsidRPr="00332FD2">
        <w:rPr>
          <w:rFonts w:hint="eastAsia"/>
          <w:sz w:val="28"/>
          <w:szCs w:val="28"/>
        </w:rPr>
        <w:t>60%</w:t>
      </w:r>
      <w:r w:rsidRPr="00332FD2">
        <w:rPr>
          <w:rFonts w:hint="eastAsia"/>
          <w:sz w:val="28"/>
          <w:szCs w:val="28"/>
        </w:rPr>
        <w:t>集中在东部沿海省市，这种情况自</w:t>
      </w:r>
      <w:r w:rsidRPr="00332FD2">
        <w:rPr>
          <w:rFonts w:hint="eastAsia"/>
          <w:sz w:val="28"/>
          <w:szCs w:val="28"/>
        </w:rPr>
        <w:t>2012</w:t>
      </w:r>
      <w:r w:rsidRPr="00332FD2">
        <w:rPr>
          <w:rFonts w:hint="eastAsia"/>
          <w:sz w:val="28"/>
          <w:szCs w:val="28"/>
        </w:rPr>
        <w:t>年以来几乎没有变化。这就使得中国在世界银行营商便利度上涉及开办企业的“前沿距离”指标得分从</w:t>
      </w:r>
      <w:r w:rsidRPr="00332FD2">
        <w:rPr>
          <w:rFonts w:hint="eastAsia"/>
          <w:sz w:val="28"/>
          <w:szCs w:val="28"/>
        </w:rPr>
        <w:t>2014</w:t>
      </w:r>
      <w:r w:rsidRPr="00332FD2">
        <w:rPr>
          <w:rFonts w:hint="eastAsia"/>
          <w:sz w:val="28"/>
          <w:szCs w:val="28"/>
        </w:rPr>
        <w:t>年的</w:t>
      </w:r>
      <w:r w:rsidRPr="00332FD2">
        <w:rPr>
          <w:rFonts w:hint="eastAsia"/>
          <w:sz w:val="28"/>
          <w:szCs w:val="28"/>
        </w:rPr>
        <w:t>61</w:t>
      </w:r>
      <w:r w:rsidRPr="00332FD2">
        <w:rPr>
          <w:rFonts w:hint="eastAsia"/>
          <w:sz w:val="28"/>
          <w:szCs w:val="28"/>
        </w:rPr>
        <w:t>分提升到</w:t>
      </w:r>
      <w:r w:rsidRPr="00332FD2">
        <w:rPr>
          <w:rFonts w:hint="eastAsia"/>
          <w:sz w:val="28"/>
          <w:szCs w:val="28"/>
        </w:rPr>
        <w:t>85</w:t>
      </w:r>
      <w:r w:rsidRPr="00332FD2">
        <w:rPr>
          <w:rFonts w:hint="eastAsia"/>
          <w:sz w:val="28"/>
          <w:szCs w:val="28"/>
        </w:rPr>
        <w:t>分，营商便利度总排名为第</w:t>
      </w:r>
      <w:r w:rsidRPr="00332FD2">
        <w:rPr>
          <w:rFonts w:hint="eastAsia"/>
          <w:sz w:val="28"/>
          <w:szCs w:val="28"/>
        </w:rPr>
        <w:t>78</w:t>
      </w:r>
      <w:r w:rsidRPr="00332FD2">
        <w:rPr>
          <w:rFonts w:hint="eastAsia"/>
          <w:sz w:val="28"/>
          <w:szCs w:val="28"/>
        </w:rPr>
        <w:t>，排在肯尼亚之前和乌兹别克斯坦之后，但合同执行指标的得分排在最低国家之列。这一点可能更为关键，需</w:t>
      </w:r>
      <w:r w:rsidR="0012330C">
        <w:rPr>
          <w:rFonts w:hint="eastAsia"/>
          <w:sz w:val="28"/>
          <w:szCs w:val="28"/>
        </w:rPr>
        <w:t>要从根本上加以</w:t>
      </w:r>
      <w:r w:rsidRPr="00332FD2">
        <w:rPr>
          <w:rFonts w:hint="eastAsia"/>
          <w:sz w:val="28"/>
          <w:szCs w:val="28"/>
        </w:rPr>
        <w:t>改进。</w:t>
      </w:r>
    </w:p>
    <w:p w:rsidR="009D28FF" w:rsidRPr="00332FD2" w:rsidRDefault="009D28FF" w:rsidP="009D28FF">
      <w:pPr>
        <w:ind w:firstLine="540"/>
        <w:rPr>
          <w:sz w:val="28"/>
          <w:szCs w:val="28"/>
        </w:rPr>
      </w:pPr>
    </w:p>
    <w:p w:rsidR="009D28FF" w:rsidRPr="00332FD2" w:rsidRDefault="009D28FF" w:rsidP="009D28FF">
      <w:pPr>
        <w:pStyle w:val="a7"/>
        <w:numPr>
          <w:ilvl w:val="0"/>
          <w:numId w:val="3"/>
        </w:numPr>
        <w:ind w:firstLineChars="0"/>
        <w:rPr>
          <w:sz w:val="28"/>
          <w:szCs w:val="28"/>
        </w:rPr>
      </w:pPr>
      <w:r w:rsidRPr="00332FD2">
        <w:rPr>
          <w:rFonts w:hint="eastAsia"/>
          <w:sz w:val="28"/>
          <w:szCs w:val="28"/>
        </w:rPr>
        <w:t>减税降费，增减挂钩</w:t>
      </w:r>
    </w:p>
    <w:p w:rsidR="009D28FF" w:rsidRPr="00332FD2" w:rsidRDefault="009D28FF" w:rsidP="009D28FF">
      <w:pPr>
        <w:rPr>
          <w:sz w:val="28"/>
          <w:szCs w:val="28"/>
        </w:rPr>
      </w:pPr>
    </w:p>
    <w:p w:rsidR="009D28FF" w:rsidRPr="00332FD2" w:rsidRDefault="009D28FF" w:rsidP="009D28FF">
      <w:pPr>
        <w:ind w:firstLine="540"/>
        <w:rPr>
          <w:sz w:val="28"/>
          <w:szCs w:val="28"/>
        </w:rPr>
      </w:pPr>
      <w:r w:rsidRPr="00332FD2">
        <w:rPr>
          <w:rFonts w:hint="eastAsia"/>
          <w:sz w:val="28"/>
          <w:szCs w:val="28"/>
        </w:rPr>
        <w:t>税收是政府的产权，也是构成营商环境的重要因素。目前，在特朗普减税政策的推动下，减税降费，促进投资和稳定经济，正在成为一股世界潮流。中国也置身于这股世界潮流之中。</w:t>
      </w:r>
    </w:p>
    <w:p w:rsidR="009D28FF" w:rsidRPr="00332FD2" w:rsidRDefault="009D28FF" w:rsidP="009D28FF">
      <w:pPr>
        <w:ind w:firstLine="540"/>
        <w:rPr>
          <w:sz w:val="28"/>
          <w:szCs w:val="28"/>
        </w:rPr>
      </w:pPr>
      <w:r w:rsidRPr="00332FD2">
        <w:rPr>
          <w:rFonts w:hint="eastAsia"/>
          <w:sz w:val="28"/>
          <w:szCs w:val="28"/>
        </w:rPr>
        <w:t>3</w:t>
      </w:r>
      <w:r w:rsidRPr="00332FD2">
        <w:rPr>
          <w:rFonts w:hint="eastAsia"/>
          <w:sz w:val="28"/>
          <w:szCs w:val="28"/>
        </w:rPr>
        <w:t>月</w:t>
      </w:r>
      <w:r w:rsidRPr="00332FD2">
        <w:rPr>
          <w:rFonts w:hint="eastAsia"/>
          <w:sz w:val="28"/>
          <w:szCs w:val="28"/>
        </w:rPr>
        <w:t>28</w:t>
      </w:r>
      <w:r w:rsidRPr="00332FD2">
        <w:rPr>
          <w:rFonts w:hint="eastAsia"/>
          <w:sz w:val="28"/>
          <w:szCs w:val="28"/>
        </w:rPr>
        <w:t>日国务院常务会议决定，深化增值税改革，进一步减轻市场主体税负。会议指出，过去五年通过实施营改增累计减税</w:t>
      </w:r>
      <w:r w:rsidRPr="00332FD2">
        <w:rPr>
          <w:rFonts w:hint="eastAsia"/>
          <w:sz w:val="28"/>
          <w:szCs w:val="28"/>
        </w:rPr>
        <w:t>2.1</w:t>
      </w:r>
      <w:r w:rsidRPr="00332FD2">
        <w:rPr>
          <w:rFonts w:hint="eastAsia"/>
          <w:sz w:val="28"/>
          <w:szCs w:val="28"/>
        </w:rPr>
        <w:t>万亿元。为进一步完善税制，支持制造业、小微企业等实体经济发展，决定从</w:t>
      </w:r>
      <w:r w:rsidRPr="00332FD2">
        <w:rPr>
          <w:rFonts w:hint="eastAsia"/>
          <w:sz w:val="28"/>
          <w:szCs w:val="28"/>
        </w:rPr>
        <w:t>5</w:t>
      </w:r>
      <w:r w:rsidRPr="00332FD2">
        <w:rPr>
          <w:rFonts w:hint="eastAsia"/>
          <w:sz w:val="28"/>
          <w:szCs w:val="28"/>
        </w:rPr>
        <w:t>月</w:t>
      </w:r>
      <w:r w:rsidRPr="00332FD2">
        <w:rPr>
          <w:rFonts w:hint="eastAsia"/>
          <w:sz w:val="28"/>
          <w:szCs w:val="28"/>
        </w:rPr>
        <w:t>1</w:t>
      </w:r>
      <w:r w:rsidRPr="00332FD2">
        <w:rPr>
          <w:rFonts w:hint="eastAsia"/>
          <w:sz w:val="28"/>
          <w:szCs w:val="28"/>
        </w:rPr>
        <w:t>日起，一是将制造业等行业增值税率从</w:t>
      </w:r>
      <w:r w:rsidRPr="00332FD2">
        <w:rPr>
          <w:rFonts w:hint="eastAsia"/>
          <w:sz w:val="28"/>
          <w:szCs w:val="28"/>
        </w:rPr>
        <w:t>17%</w:t>
      </w:r>
      <w:r w:rsidRPr="00332FD2">
        <w:rPr>
          <w:rFonts w:hint="eastAsia"/>
          <w:sz w:val="28"/>
          <w:szCs w:val="28"/>
        </w:rPr>
        <w:t>降至</w:t>
      </w:r>
      <w:r w:rsidRPr="00332FD2">
        <w:rPr>
          <w:rFonts w:hint="eastAsia"/>
          <w:sz w:val="28"/>
          <w:szCs w:val="28"/>
        </w:rPr>
        <w:t>16%</w:t>
      </w:r>
      <w:r w:rsidRPr="00332FD2">
        <w:rPr>
          <w:rFonts w:hint="eastAsia"/>
          <w:sz w:val="28"/>
          <w:szCs w:val="28"/>
        </w:rPr>
        <w:t>，将交通运输、建筑、基础电信服务等行业及农产品等货物的增值税税率从</w:t>
      </w:r>
      <w:r w:rsidRPr="00332FD2">
        <w:rPr>
          <w:rFonts w:hint="eastAsia"/>
          <w:sz w:val="28"/>
          <w:szCs w:val="28"/>
        </w:rPr>
        <w:t>11%</w:t>
      </w:r>
      <w:r w:rsidRPr="00332FD2">
        <w:rPr>
          <w:rFonts w:hint="eastAsia"/>
          <w:sz w:val="28"/>
          <w:szCs w:val="28"/>
        </w:rPr>
        <w:t>降至</w:t>
      </w:r>
      <w:r w:rsidRPr="00332FD2">
        <w:rPr>
          <w:rFonts w:hint="eastAsia"/>
          <w:sz w:val="28"/>
          <w:szCs w:val="28"/>
        </w:rPr>
        <w:t>10%</w:t>
      </w:r>
      <w:r w:rsidRPr="00332FD2">
        <w:rPr>
          <w:rFonts w:hint="eastAsia"/>
          <w:sz w:val="28"/>
          <w:szCs w:val="28"/>
        </w:rPr>
        <w:t>，预计全年可减税</w:t>
      </w:r>
      <w:r w:rsidRPr="00332FD2">
        <w:rPr>
          <w:rFonts w:hint="eastAsia"/>
          <w:sz w:val="28"/>
          <w:szCs w:val="28"/>
        </w:rPr>
        <w:t>2400</w:t>
      </w:r>
      <w:r w:rsidRPr="00332FD2">
        <w:rPr>
          <w:rFonts w:hint="eastAsia"/>
          <w:sz w:val="28"/>
          <w:szCs w:val="28"/>
        </w:rPr>
        <w:t>亿元。二是统一增值税小规模纳税人标准，将工业企业和商业企业小规模纳税人的年销售额标准从</w:t>
      </w:r>
      <w:r w:rsidRPr="00332FD2">
        <w:rPr>
          <w:rFonts w:hint="eastAsia"/>
          <w:sz w:val="28"/>
          <w:szCs w:val="28"/>
        </w:rPr>
        <w:t>50</w:t>
      </w:r>
      <w:r w:rsidRPr="00332FD2">
        <w:rPr>
          <w:rFonts w:hint="eastAsia"/>
          <w:sz w:val="28"/>
          <w:szCs w:val="28"/>
        </w:rPr>
        <w:t>万元和</w:t>
      </w:r>
      <w:r w:rsidRPr="00332FD2">
        <w:rPr>
          <w:rFonts w:hint="eastAsia"/>
          <w:sz w:val="28"/>
          <w:szCs w:val="28"/>
        </w:rPr>
        <w:t xml:space="preserve"> 80</w:t>
      </w:r>
      <w:r w:rsidRPr="00332FD2">
        <w:rPr>
          <w:rFonts w:hint="eastAsia"/>
          <w:sz w:val="28"/>
          <w:szCs w:val="28"/>
        </w:rPr>
        <w:t>万元上调至</w:t>
      </w:r>
      <w:r w:rsidRPr="00332FD2">
        <w:rPr>
          <w:rFonts w:hint="eastAsia"/>
          <w:sz w:val="28"/>
          <w:szCs w:val="28"/>
        </w:rPr>
        <w:t>500</w:t>
      </w:r>
      <w:r w:rsidRPr="00332FD2">
        <w:rPr>
          <w:rFonts w:hint="eastAsia"/>
          <w:sz w:val="28"/>
          <w:szCs w:val="28"/>
        </w:rPr>
        <w:t>万元，并在一定期限内允许已经登记为一般纳税人的企业转登记为小规模纳税人，让更多企业享受按较低征收率计税的优惠。三是对装备制造业等先进制造业、研发等现代服务业符合条件的企业和电网企业在一定时期内未抵扣完的进项税额予以一次性退还。以上三项措施预计全年减负超过</w:t>
      </w:r>
      <w:r w:rsidRPr="00332FD2">
        <w:rPr>
          <w:rFonts w:hint="eastAsia"/>
          <w:sz w:val="28"/>
          <w:szCs w:val="28"/>
        </w:rPr>
        <w:t>4000</w:t>
      </w:r>
      <w:r w:rsidRPr="00332FD2">
        <w:rPr>
          <w:rFonts w:hint="eastAsia"/>
          <w:sz w:val="28"/>
          <w:szCs w:val="28"/>
        </w:rPr>
        <w:t>元。</w:t>
      </w:r>
    </w:p>
    <w:p w:rsidR="009D28FF" w:rsidRPr="00332FD2" w:rsidRDefault="009D28FF" w:rsidP="009D28FF">
      <w:pPr>
        <w:ind w:firstLine="540"/>
        <w:rPr>
          <w:sz w:val="28"/>
          <w:szCs w:val="28"/>
        </w:rPr>
      </w:pPr>
      <w:r w:rsidRPr="00332FD2">
        <w:rPr>
          <w:rFonts w:hint="eastAsia"/>
          <w:sz w:val="28"/>
          <w:szCs w:val="28"/>
        </w:rPr>
        <w:t>4</w:t>
      </w:r>
      <w:r w:rsidRPr="00332FD2">
        <w:rPr>
          <w:rFonts w:hint="eastAsia"/>
          <w:sz w:val="28"/>
          <w:szCs w:val="28"/>
        </w:rPr>
        <w:t>月</w:t>
      </w:r>
      <w:r w:rsidRPr="00332FD2">
        <w:rPr>
          <w:rFonts w:hint="eastAsia"/>
          <w:sz w:val="28"/>
          <w:szCs w:val="28"/>
        </w:rPr>
        <w:t>9</w:t>
      </w:r>
      <w:r w:rsidRPr="00332FD2">
        <w:rPr>
          <w:rFonts w:hint="eastAsia"/>
          <w:sz w:val="28"/>
          <w:szCs w:val="28"/>
        </w:rPr>
        <w:t>日，财政部副部长程丽华表示，在去年降费</w:t>
      </w:r>
      <w:r w:rsidRPr="00332FD2">
        <w:rPr>
          <w:rFonts w:hint="eastAsia"/>
          <w:sz w:val="28"/>
          <w:szCs w:val="28"/>
        </w:rPr>
        <w:t>6000</w:t>
      </w:r>
      <w:r w:rsidRPr="00332FD2">
        <w:rPr>
          <w:rFonts w:hint="eastAsia"/>
          <w:sz w:val="28"/>
          <w:szCs w:val="28"/>
        </w:rPr>
        <w:t>亿元的基础上，今年国务院第</w:t>
      </w:r>
      <w:r w:rsidRPr="00332FD2">
        <w:rPr>
          <w:rFonts w:hint="eastAsia"/>
          <w:sz w:val="28"/>
          <w:szCs w:val="28"/>
        </w:rPr>
        <w:t>3</w:t>
      </w:r>
      <w:r w:rsidRPr="00332FD2">
        <w:rPr>
          <w:rFonts w:hint="eastAsia"/>
          <w:sz w:val="28"/>
          <w:szCs w:val="28"/>
        </w:rPr>
        <w:t>次常务会议确定的四类政府性收费降费措施，预计全年可减轻企业负担</w:t>
      </w:r>
      <w:r w:rsidRPr="00332FD2">
        <w:rPr>
          <w:rFonts w:hint="eastAsia"/>
          <w:sz w:val="28"/>
          <w:szCs w:val="28"/>
        </w:rPr>
        <w:t>2506</w:t>
      </w:r>
      <w:r w:rsidRPr="00332FD2">
        <w:rPr>
          <w:rFonts w:hint="eastAsia"/>
          <w:sz w:val="28"/>
          <w:szCs w:val="28"/>
        </w:rPr>
        <w:t>亿元，再加上发改委出台的降低经营服务性收费，预计全年减负超过</w:t>
      </w:r>
      <w:r w:rsidRPr="00332FD2">
        <w:rPr>
          <w:rFonts w:hint="eastAsia"/>
          <w:sz w:val="28"/>
          <w:szCs w:val="28"/>
        </w:rPr>
        <w:t>3000</w:t>
      </w:r>
      <w:r w:rsidRPr="00332FD2">
        <w:rPr>
          <w:rFonts w:hint="eastAsia"/>
          <w:sz w:val="28"/>
          <w:szCs w:val="28"/>
        </w:rPr>
        <w:t>亿元，加上上述减税</w:t>
      </w:r>
      <w:r w:rsidRPr="00332FD2">
        <w:rPr>
          <w:rFonts w:hint="eastAsia"/>
          <w:sz w:val="28"/>
          <w:szCs w:val="28"/>
        </w:rPr>
        <w:t>4000</w:t>
      </w:r>
      <w:r w:rsidRPr="00332FD2">
        <w:rPr>
          <w:rFonts w:hint="eastAsia"/>
          <w:sz w:val="28"/>
          <w:szCs w:val="28"/>
        </w:rPr>
        <w:t>亿元，</w:t>
      </w:r>
      <w:r w:rsidRPr="00332FD2">
        <w:rPr>
          <w:rFonts w:hint="eastAsia"/>
          <w:sz w:val="28"/>
          <w:szCs w:val="28"/>
        </w:rPr>
        <w:lastRenderedPageBreak/>
        <w:t>全年减负超过</w:t>
      </w:r>
      <w:r w:rsidRPr="00332FD2">
        <w:rPr>
          <w:rFonts w:hint="eastAsia"/>
          <w:sz w:val="28"/>
          <w:szCs w:val="28"/>
        </w:rPr>
        <w:t>7000</w:t>
      </w:r>
      <w:r w:rsidRPr="00332FD2">
        <w:rPr>
          <w:rFonts w:hint="eastAsia"/>
          <w:sz w:val="28"/>
          <w:szCs w:val="28"/>
        </w:rPr>
        <w:t>亿元。按照今年政府工作报告，要提高个人所得税起征点。</w:t>
      </w:r>
      <w:r w:rsidRPr="00332FD2">
        <w:rPr>
          <w:rFonts w:hint="eastAsia"/>
          <w:sz w:val="28"/>
          <w:szCs w:val="28"/>
        </w:rPr>
        <w:t>2018</w:t>
      </w:r>
      <w:r w:rsidRPr="00332FD2">
        <w:rPr>
          <w:rFonts w:hint="eastAsia"/>
          <w:sz w:val="28"/>
          <w:szCs w:val="28"/>
        </w:rPr>
        <w:t>年减税降费规模将超过</w:t>
      </w:r>
      <w:r w:rsidRPr="00332FD2">
        <w:rPr>
          <w:rFonts w:hint="eastAsia"/>
          <w:sz w:val="28"/>
          <w:szCs w:val="28"/>
        </w:rPr>
        <w:t>1.1</w:t>
      </w:r>
      <w:r w:rsidRPr="00332FD2">
        <w:rPr>
          <w:rFonts w:hint="eastAsia"/>
          <w:sz w:val="28"/>
          <w:szCs w:val="28"/>
        </w:rPr>
        <w:t>万亿元。</w:t>
      </w:r>
    </w:p>
    <w:p w:rsidR="009D28FF" w:rsidRPr="00332FD2" w:rsidRDefault="009D28FF" w:rsidP="009D28FF">
      <w:pPr>
        <w:ind w:firstLine="540"/>
        <w:rPr>
          <w:sz w:val="28"/>
          <w:szCs w:val="28"/>
        </w:rPr>
      </w:pPr>
      <w:r w:rsidRPr="00332FD2">
        <w:rPr>
          <w:rFonts w:hint="eastAsia"/>
          <w:sz w:val="28"/>
          <w:szCs w:val="28"/>
        </w:rPr>
        <w:t>还有，人社部副部长游钧表示，继续延续</w:t>
      </w:r>
      <w:r w:rsidRPr="00332FD2">
        <w:rPr>
          <w:rFonts w:hint="eastAsia"/>
          <w:sz w:val="28"/>
          <w:szCs w:val="28"/>
        </w:rPr>
        <w:t>2016</w:t>
      </w:r>
      <w:r w:rsidRPr="00332FD2">
        <w:rPr>
          <w:rFonts w:hint="eastAsia"/>
          <w:sz w:val="28"/>
          <w:szCs w:val="28"/>
        </w:rPr>
        <w:t>年企业养老保险费率从</w:t>
      </w:r>
      <w:r w:rsidRPr="00332FD2">
        <w:rPr>
          <w:rFonts w:hint="eastAsia"/>
          <w:sz w:val="28"/>
          <w:szCs w:val="28"/>
        </w:rPr>
        <w:t>20%</w:t>
      </w:r>
      <w:r w:rsidRPr="00332FD2">
        <w:rPr>
          <w:rFonts w:hint="eastAsia"/>
          <w:sz w:val="28"/>
          <w:szCs w:val="28"/>
        </w:rPr>
        <w:t>降至</w:t>
      </w:r>
      <w:r w:rsidRPr="00332FD2">
        <w:rPr>
          <w:rFonts w:hint="eastAsia"/>
          <w:sz w:val="28"/>
          <w:szCs w:val="28"/>
        </w:rPr>
        <w:t>19%</w:t>
      </w:r>
      <w:r w:rsidRPr="00332FD2">
        <w:rPr>
          <w:rFonts w:hint="eastAsia"/>
          <w:sz w:val="28"/>
          <w:szCs w:val="28"/>
        </w:rPr>
        <w:t>的政策，将原来到期期限延长一年至</w:t>
      </w:r>
      <w:r w:rsidRPr="00332FD2">
        <w:rPr>
          <w:rFonts w:hint="eastAsia"/>
          <w:sz w:val="28"/>
          <w:szCs w:val="28"/>
        </w:rPr>
        <w:t>2019</w:t>
      </w:r>
      <w:r w:rsidRPr="00332FD2">
        <w:rPr>
          <w:rFonts w:hint="eastAsia"/>
          <w:sz w:val="28"/>
          <w:szCs w:val="28"/>
        </w:rPr>
        <w:t>年</w:t>
      </w:r>
      <w:r w:rsidRPr="00332FD2">
        <w:rPr>
          <w:rFonts w:hint="eastAsia"/>
          <w:sz w:val="28"/>
          <w:szCs w:val="28"/>
        </w:rPr>
        <w:t>4</w:t>
      </w:r>
      <w:r w:rsidRPr="00332FD2">
        <w:rPr>
          <w:rFonts w:hint="eastAsia"/>
          <w:sz w:val="28"/>
          <w:szCs w:val="28"/>
        </w:rPr>
        <w:t>月</w:t>
      </w:r>
      <w:r w:rsidRPr="00332FD2">
        <w:rPr>
          <w:rFonts w:hint="eastAsia"/>
          <w:sz w:val="28"/>
          <w:szCs w:val="28"/>
        </w:rPr>
        <w:t>30</w:t>
      </w:r>
      <w:r w:rsidRPr="00332FD2">
        <w:rPr>
          <w:rFonts w:hint="eastAsia"/>
          <w:sz w:val="28"/>
          <w:szCs w:val="28"/>
        </w:rPr>
        <w:t>日。这是三年多来的第</w:t>
      </w:r>
      <w:r w:rsidRPr="00332FD2">
        <w:rPr>
          <w:rFonts w:hint="eastAsia"/>
          <w:sz w:val="28"/>
          <w:szCs w:val="28"/>
        </w:rPr>
        <w:t>4</w:t>
      </w:r>
      <w:r w:rsidRPr="00332FD2">
        <w:rPr>
          <w:rFonts w:hint="eastAsia"/>
          <w:sz w:val="28"/>
          <w:szCs w:val="28"/>
        </w:rPr>
        <w:t>次降低总体社保费率，从</w:t>
      </w:r>
      <w:r w:rsidRPr="00332FD2">
        <w:rPr>
          <w:rFonts w:hint="eastAsia"/>
          <w:sz w:val="28"/>
          <w:szCs w:val="28"/>
        </w:rPr>
        <w:t>41%</w:t>
      </w:r>
      <w:r w:rsidRPr="00332FD2">
        <w:rPr>
          <w:rFonts w:hint="eastAsia"/>
          <w:sz w:val="28"/>
          <w:szCs w:val="28"/>
        </w:rPr>
        <w:t>降至</w:t>
      </w:r>
      <w:r w:rsidRPr="00332FD2">
        <w:rPr>
          <w:rFonts w:hint="eastAsia"/>
          <w:sz w:val="28"/>
          <w:szCs w:val="28"/>
        </w:rPr>
        <w:t>37.25%</w:t>
      </w:r>
      <w:r w:rsidRPr="00332FD2">
        <w:rPr>
          <w:rFonts w:hint="eastAsia"/>
          <w:sz w:val="28"/>
          <w:szCs w:val="28"/>
        </w:rPr>
        <w:t>，累计降低企业成本</w:t>
      </w:r>
      <w:r w:rsidRPr="00332FD2">
        <w:rPr>
          <w:rFonts w:hint="eastAsia"/>
          <w:sz w:val="28"/>
          <w:szCs w:val="28"/>
        </w:rPr>
        <w:t>3150</w:t>
      </w:r>
      <w:r w:rsidRPr="00332FD2">
        <w:rPr>
          <w:rFonts w:hint="eastAsia"/>
          <w:sz w:val="28"/>
          <w:szCs w:val="28"/>
        </w:rPr>
        <w:t>亿元。</w:t>
      </w:r>
    </w:p>
    <w:p w:rsidR="009D28FF" w:rsidRPr="00332FD2" w:rsidRDefault="009D28FF" w:rsidP="009D28FF">
      <w:pPr>
        <w:ind w:firstLine="540"/>
        <w:rPr>
          <w:sz w:val="28"/>
          <w:szCs w:val="28"/>
        </w:rPr>
      </w:pPr>
      <w:r w:rsidRPr="00332FD2">
        <w:rPr>
          <w:rFonts w:hint="eastAsia"/>
          <w:sz w:val="28"/>
          <w:szCs w:val="28"/>
        </w:rPr>
        <w:t>此外，财政部、国税局、人社部等联合发布《关于开展个人税收递延型商业养老保险的通知》，从今年</w:t>
      </w:r>
      <w:r w:rsidRPr="00332FD2">
        <w:rPr>
          <w:rFonts w:hint="eastAsia"/>
          <w:sz w:val="28"/>
          <w:szCs w:val="28"/>
        </w:rPr>
        <w:t>5</w:t>
      </w:r>
      <w:r w:rsidRPr="00332FD2">
        <w:rPr>
          <w:rFonts w:hint="eastAsia"/>
          <w:sz w:val="28"/>
          <w:szCs w:val="28"/>
        </w:rPr>
        <w:t>月</w:t>
      </w:r>
      <w:r w:rsidRPr="00332FD2">
        <w:rPr>
          <w:rFonts w:hint="eastAsia"/>
          <w:sz w:val="28"/>
          <w:szCs w:val="28"/>
        </w:rPr>
        <w:t>1</w:t>
      </w:r>
      <w:r w:rsidRPr="00332FD2">
        <w:rPr>
          <w:rFonts w:hint="eastAsia"/>
          <w:sz w:val="28"/>
          <w:szCs w:val="28"/>
        </w:rPr>
        <w:t>日起在上海市、福建省（包括厦门市）、苏州工业园区进行试点。《通知》明确规定个人交费税前扣除标准：取得工资薪金、连续性劳务报酬所得的个人，其缴纳的保费准予在申报扣除当月计算应纳税所得额时予以限额据实扣除，扣除限额按当月工资薪金、连续性劳务报酬收入的</w:t>
      </w:r>
      <w:r w:rsidRPr="00332FD2">
        <w:rPr>
          <w:rFonts w:hint="eastAsia"/>
          <w:sz w:val="28"/>
          <w:szCs w:val="28"/>
        </w:rPr>
        <w:t>6%</w:t>
      </w:r>
      <w:r w:rsidRPr="00332FD2">
        <w:rPr>
          <w:rFonts w:hint="eastAsia"/>
          <w:sz w:val="28"/>
          <w:szCs w:val="28"/>
        </w:rPr>
        <w:t>和</w:t>
      </w:r>
      <w:r w:rsidRPr="00332FD2">
        <w:rPr>
          <w:rFonts w:hint="eastAsia"/>
          <w:sz w:val="28"/>
          <w:szCs w:val="28"/>
        </w:rPr>
        <w:t>1000</w:t>
      </w:r>
      <w:r w:rsidRPr="00332FD2">
        <w:rPr>
          <w:rFonts w:hint="eastAsia"/>
          <w:sz w:val="28"/>
          <w:szCs w:val="28"/>
        </w:rPr>
        <w:t>元孰低办法确定。取得个体工商户生产经营所得、对企事业单位承包承租经营的个体工商户业主、个人独资企业经营者、合伙企业自然人合伙人和承包承租经营者，其缴纳的社保费准予在申报扣除当年计算应纳税所得额时予限额据实扣除，扣除限额按照不超过当年应税收入的</w:t>
      </w:r>
      <w:r w:rsidRPr="00332FD2">
        <w:rPr>
          <w:rFonts w:hint="eastAsia"/>
          <w:sz w:val="28"/>
          <w:szCs w:val="28"/>
        </w:rPr>
        <w:t>6%</w:t>
      </w:r>
      <w:r w:rsidRPr="00332FD2">
        <w:rPr>
          <w:rFonts w:hint="eastAsia"/>
          <w:sz w:val="28"/>
          <w:szCs w:val="28"/>
        </w:rPr>
        <w:t>和</w:t>
      </w:r>
      <w:r w:rsidRPr="00332FD2">
        <w:rPr>
          <w:rFonts w:hint="eastAsia"/>
          <w:sz w:val="28"/>
          <w:szCs w:val="28"/>
        </w:rPr>
        <w:t>12000</w:t>
      </w:r>
      <w:r w:rsidRPr="00332FD2">
        <w:rPr>
          <w:rFonts w:hint="eastAsia"/>
          <w:sz w:val="28"/>
          <w:szCs w:val="28"/>
        </w:rPr>
        <w:t>元孰低办法确定。还规定对个人到达规定条件时领取养老保险金收入，其中</w:t>
      </w:r>
      <w:r w:rsidRPr="00332FD2">
        <w:rPr>
          <w:rFonts w:hint="eastAsia"/>
          <w:sz w:val="28"/>
          <w:szCs w:val="28"/>
        </w:rPr>
        <w:t>25%</w:t>
      </w:r>
      <w:r w:rsidRPr="00332FD2">
        <w:rPr>
          <w:rFonts w:hint="eastAsia"/>
          <w:sz w:val="28"/>
          <w:szCs w:val="28"/>
        </w:rPr>
        <w:t>部分予以免税，其余</w:t>
      </w:r>
      <w:r w:rsidRPr="00332FD2">
        <w:rPr>
          <w:rFonts w:hint="eastAsia"/>
          <w:sz w:val="28"/>
          <w:szCs w:val="28"/>
        </w:rPr>
        <w:t>75%</w:t>
      </w:r>
      <w:r w:rsidRPr="00332FD2">
        <w:rPr>
          <w:rFonts w:hint="eastAsia"/>
          <w:sz w:val="28"/>
          <w:szCs w:val="28"/>
        </w:rPr>
        <w:t>按照</w:t>
      </w:r>
      <w:r w:rsidRPr="00332FD2">
        <w:rPr>
          <w:rFonts w:hint="eastAsia"/>
          <w:sz w:val="28"/>
          <w:szCs w:val="28"/>
        </w:rPr>
        <w:t>10%</w:t>
      </w:r>
      <w:r w:rsidRPr="00332FD2">
        <w:rPr>
          <w:rFonts w:hint="eastAsia"/>
          <w:sz w:val="28"/>
          <w:szCs w:val="28"/>
        </w:rPr>
        <w:t>的比例税率计算缴纳个人所得税。</w:t>
      </w:r>
    </w:p>
    <w:p w:rsidR="009D28FF" w:rsidRPr="00332FD2" w:rsidRDefault="009D28FF" w:rsidP="009D28FF">
      <w:pPr>
        <w:ind w:firstLine="540"/>
        <w:rPr>
          <w:sz w:val="28"/>
          <w:szCs w:val="28"/>
        </w:rPr>
      </w:pPr>
      <w:r w:rsidRPr="00332FD2">
        <w:rPr>
          <w:rFonts w:hint="eastAsia"/>
          <w:sz w:val="28"/>
          <w:szCs w:val="28"/>
        </w:rPr>
        <w:t>这一系列都是惠民利企的重要措施，</w:t>
      </w:r>
      <w:r w:rsidR="008E101B">
        <w:rPr>
          <w:rFonts w:hint="eastAsia"/>
          <w:sz w:val="28"/>
          <w:szCs w:val="28"/>
        </w:rPr>
        <w:t>文件明确了目标和办法，</w:t>
      </w:r>
      <w:r w:rsidRPr="00332FD2">
        <w:rPr>
          <w:rFonts w:hint="eastAsia"/>
          <w:sz w:val="28"/>
          <w:szCs w:val="28"/>
        </w:rPr>
        <w:t>关键在于真正落实。不过，与此同时，政府也开设了一些新税种，</w:t>
      </w:r>
      <w:r w:rsidRPr="00332FD2">
        <w:rPr>
          <w:rFonts w:hint="eastAsia"/>
          <w:sz w:val="28"/>
          <w:szCs w:val="28"/>
        </w:rPr>
        <w:t>4</w:t>
      </w:r>
      <w:r w:rsidRPr="00332FD2">
        <w:rPr>
          <w:rFonts w:hint="eastAsia"/>
          <w:sz w:val="28"/>
          <w:szCs w:val="28"/>
        </w:rPr>
        <w:t>月</w:t>
      </w:r>
      <w:r w:rsidRPr="00332FD2">
        <w:rPr>
          <w:rFonts w:hint="eastAsia"/>
          <w:sz w:val="28"/>
          <w:szCs w:val="28"/>
        </w:rPr>
        <w:t>1</w:t>
      </w:r>
      <w:r w:rsidRPr="00332FD2">
        <w:rPr>
          <w:rFonts w:hint="eastAsia"/>
          <w:sz w:val="28"/>
          <w:szCs w:val="28"/>
        </w:rPr>
        <w:t>日，环保税进入首个征期，当天上午，上海巴斯夫新材料有限公司</w:t>
      </w:r>
      <w:r w:rsidRPr="00332FD2">
        <w:rPr>
          <w:rFonts w:hint="eastAsia"/>
          <w:sz w:val="28"/>
          <w:szCs w:val="28"/>
        </w:rPr>
        <w:lastRenderedPageBreak/>
        <w:t>接到首张税票，应交</w:t>
      </w:r>
      <w:r w:rsidRPr="00332FD2">
        <w:rPr>
          <w:rFonts w:hint="eastAsia"/>
          <w:sz w:val="28"/>
          <w:szCs w:val="28"/>
        </w:rPr>
        <w:t>9400</w:t>
      </w:r>
      <w:r w:rsidRPr="00332FD2">
        <w:rPr>
          <w:rFonts w:hint="eastAsia"/>
          <w:sz w:val="28"/>
          <w:szCs w:val="28"/>
        </w:rPr>
        <w:t>元，减免</w:t>
      </w:r>
      <w:r w:rsidRPr="00332FD2">
        <w:rPr>
          <w:rFonts w:hint="eastAsia"/>
          <w:sz w:val="28"/>
          <w:szCs w:val="28"/>
        </w:rPr>
        <w:t>600</w:t>
      </w:r>
      <w:r w:rsidRPr="00332FD2">
        <w:rPr>
          <w:rFonts w:hint="eastAsia"/>
          <w:sz w:val="28"/>
          <w:szCs w:val="28"/>
        </w:rPr>
        <w:t>元。事前，各地税务部门识别、认定并采集了</w:t>
      </w:r>
      <w:r w:rsidRPr="00332FD2">
        <w:rPr>
          <w:rFonts w:hint="eastAsia"/>
          <w:sz w:val="28"/>
          <w:szCs w:val="28"/>
        </w:rPr>
        <w:t>24</w:t>
      </w:r>
      <w:r w:rsidRPr="00332FD2">
        <w:rPr>
          <w:rFonts w:hint="eastAsia"/>
          <w:sz w:val="28"/>
          <w:szCs w:val="28"/>
        </w:rPr>
        <w:t>万多户环保税纳税人的基础信息，增设了申报专窗、绿色通道。还有，财政部长明确指出，今明两年要按照“立法先行、充分授权、分步推进”的原则，完成房地产税的法律程序，逐步开征房地产税。</w:t>
      </w:r>
    </w:p>
    <w:p w:rsidR="009D28FF" w:rsidRPr="00332FD2" w:rsidRDefault="009D28FF" w:rsidP="009D28FF">
      <w:pPr>
        <w:ind w:firstLine="540"/>
        <w:rPr>
          <w:sz w:val="28"/>
          <w:szCs w:val="28"/>
        </w:rPr>
      </w:pPr>
      <w:r w:rsidRPr="00332FD2">
        <w:rPr>
          <w:rFonts w:hint="eastAsia"/>
          <w:sz w:val="28"/>
          <w:szCs w:val="28"/>
        </w:rPr>
        <w:t>根据以上情况，有些问题还需要进一步讨论。</w:t>
      </w:r>
    </w:p>
    <w:p w:rsidR="009D28FF" w:rsidRPr="00332FD2" w:rsidRDefault="009D28FF" w:rsidP="009D28FF">
      <w:pPr>
        <w:ind w:firstLine="540"/>
        <w:rPr>
          <w:sz w:val="28"/>
          <w:szCs w:val="28"/>
        </w:rPr>
      </w:pPr>
      <w:r w:rsidRPr="00332FD2">
        <w:rPr>
          <w:rFonts w:hint="eastAsia"/>
          <w:sz w:val="28"/>
          <w:szCs w:val="28"/>
        </w:rPr>
        <w:t>首先，增减应当挂钩，增加一种税，同时应当减少一种税，减少的税收应当超过增加的部分，因为现行税负已经不低，企业普遍感到税负较重，经营困难。而且同样的税额，增税的痛苦指数明显超过减税的幸福程度。</w:t>
      </w:r>
    </w:p>
    <w:p w:rsidR="009D28FF" w:rsidRPr="00332FD2" w:rsidRDefault="009D28FF" w:rsidP="009D28FF">
      <w:pPr>
        <w:ind w:firstLine="540"/>
        <w:rPr>
          <w:sz w:val="28"/>
          <w:szCs w:val="28"/>
        </w:rPr>
      </w:pPr>
      <w:r w:rsidRPr="00332FD2">
        <w:rPr>
          <w:rFonts w:hint="eastAsia"/>
          <w:sz w:val="28"/>
          <w:szCs w:val="28"/>
        </w:rPr>
        <w:t>其次，增加税种，调整税率的权限在人大常委会，尽管上世纪</w:t>
      </w:r>
      <w:r w:rsidRPr="00332FD2">
        <w:rPr>
          <w:rFonts w:hint="eastAsia"/>
          <w:sz w:val="28"/>
          <w:szCs w:val="28"/>
        </w:rPr>
        <w:t>80</w:t>
      </w:r>
      <w:r w:rsidRPr="00332FD2">
        <w:rPr>
          <w:rFonts w:hint="eastAsia"/>
          <w:sz w:val="28"/>
          <w:szCs w:val="28"/>
        </w:rPr>
        <w:t>年代中，人大常委会曾授权国务院调整部分税率，但已经过去了</w:t>
      </w:r>
      <w:r w:rsidRPr="00332FD2">
        <w:rPr>
          <w:rFonts w:hint="eastAsia"/>
          <w:sz w:val="28"/>
          <w:szCs w:val="28"/>
        </w:rPr>
        <w:t>40</w:t>
      </w:r>
      <w:r w:rsidRPr="00332FD2">
        <w:rPr>
          <w:rFonts w:hint="eastAsia"/>
          <w:sz w:val="28"/>
          <w:szCs w:val="28"/>
        </w:rPr>
        <w:t>多年，此次降低增值税税率仍由国务院决定，虽然是件好事，但办事程序也值得考虑。</w:t>
      </w:r>
    </w:p>
    <w:p w:rsidR="009D28FF" w:rsidRPr="00332FD2" w:rsidRDefault="009D28FF" w:rsidP="009D28FF">
      <w:pPr>
        <w:ind w:firstLine="540"/>
        <w:rPr>
          <w:sz w:val="28"/>
          <w:szCs w:val="28"/>
        </w:rPr>
      </w:pPr>
      <w:r w:rsidRPr="00332FD2">
        <w:rPr>
          <w:rFonts w:hint="eastAsia"/>
          <w:sz w:val="28"/>
          <w:szCs w:val="28"/>
        </w:rPr>
        <w:t>再次，税收是政府的产权，政府怎么取得自己的产权。按照现代产权和税收理论，税收关系是政府与纳税人的交易关系，税收是政府提供公共服务的对价。因此，一方面增设税种，变更税率，必须提交纳税人充分讨论，听取纳税人的意见，由民意机构独立批准。另一方面，纳税人对政府提供的公共服务是否满意，有权进行评价，政府有义务进行改进。不论是前一方面，还是后一方面，我们存在的差距都相当大。</w:t>
      </w:r>
    </w:p>
    <w:p w:rsidR="009D28FF" w:rsidRPr="00332FD2" w:rsidRDefault="009D28FF" w:rsidP="009D28FF">
      <w:pPr>
        <w:ind w:firstLine="540"/>
        <w:rPr>
          <w:sz w:val="28"/>
          <w:szCs w:val="28"/>
        </w:rPr>
      </w:pPr>
      <w:r w:rsidRPr="00332FD2">
        <w:rPr>
          <w:rFonts w:hint="eastAsia"/>
          <w:sz w:val="28"/>
          <w:szCs w:val="28"/>
        </w:rPr>
        <w:t>复次，政府与纳税人既然是平等的交易主体和交易关系，但由于</w:t>
      </w:r>
      <w:r w:rsidRPr="00332FD2">
        <w:rPr>
          <w:rFonts w:hint="eastAsia"/>
          <w:sz w:val="28"/>
          <w:szCs w:val="28"/>
        </w:rPr>
        <w:lastRenderedPageBreak/>
        <w:t>政府是强力机构，税收征管人员往往处于强势地位，发生不平等交易。税收既然是交易的价格，就不能成为惩罚财富创造人的工具。比如，双重征税，征过头税，先征预征，征多不退，下一年抵扣，到下一年也往往不扣，多征再减，让纳税人感恩戴德。此外，国企利多税少，民企利少税多，而提供的产权保护等公共服务则相反，这也是一种不平等现象，而且去年如此，今年一、二月份仍然如此。如国有控股企业税收增长</w:t>
      </w:r>
      <w:r w:rsidRPr="00332FD2">
        <w:rPr>
          <w:rFonts w:hint="eastAsia"/>
          <w:sz w:val="28"/>
          <w:szCs w:val="28"/>
        </w:rPr>
        <w:t>4.7%</w:t>
      </w:r>
      <w:r w:rsidRPr="00332FD2">
        <w:rPr>
          <w:rFonts w:hint="eastAsia"/>
          <w:sz w:val="28"/>
          <w:szCs w:val="28"/>
        </w:rPr>
        <w:t>，而私人企业税收增长</w:t>
      </w:r>
      <w:r w:rsidRPr="00332FD2">
        <w:rPr>
          <w:rFonts w:hint="eastAsia"/>
          <w:sz w:val="28"/>
          <w:szCs w:val="28"/>
        </w:rPr>
        <w:t>31.8%</w:t>
      </w:r>
      <w:r w:rsidRPr="00332FD2">
        <w:rPr>
          <w:rFonts w:hint="eastAsia"/>
          <w:sz w:val="28"/>
          <w:szCs w:val="28"/>
        </w:rPr>
        <w:t>。</w:t>
      </w:r>
    </w:p>
    <w:p w:rsidR="009D28FF" w:rsidRPr="00332FD2" w:rsidRDefault="009D28FF" w:rsidP="009D28FF">
      <w:pPr>
        <w:ind w:firstLine="540"/>
        <w:rPr>
          <w:sz w:val="28"/>
          <w:szCs w:val="28"/>
        </w:rPr>
      </w:pPr>
      <w:r w:rsidRPr="00332FD2">
        <w:rPr>
          <w:rFonts w:hint="eastAsia"/>
          <w:sz w:val="28"/>
          <w:szCs w:val="28"/>
        </w:rPr>
        <w:t>还有，既然减税，就应当建立一套完整的制度。比如，公益、慈善捐赠，应当有明确详细的免税规定。鼓励企业和个人对公益、慈善事业的康慨捐赠行为。</w:t>
      </w:r>
    </w:p>
    <w:p w:rsidR="009D28FF" w:rsidRPr="00332FD2" w:rsidRDefault="009D28FF" w:rsidP="009D28FF">
      <w:pPr>
        <w:ind w:firstLine="540"/>
        <w:rPr>
          <w:sz w:val="28"/>
          <w:szCs w:val="28"/>
        </w:rPr>
      </w:pPr>
      <w:r w:rsidRPr="00332FD2">
        <w:rPr>
          <w:rFonts w:hint="eastAsia"/>
          <w:sz w:val="28"/>
          <w:szCs w:val="28"/>
        </w:rPr>
        <w:t>最后，税收增长与经济增长的关系也值得讨论。税收的基础是经济，我们的主要税种企业增值税更是直接来源于各经济部门创造的增加值。但长期以来，税收增长大大高于经济增长，今年</w:t>
      </w:r>
      <w:r w:rsidRPr="00332FD2">
        <w:rPr>
          <w:rFonts w:hint="eastAsia"/>
          <w:sz w:val="28"/>
          <w:szCs w:val="28"/>
        </w:rPr>
        <w:t>1</w:t>
      </w:r>
      <w:r w:rsidRPr="00332FD2">
        <w:rPr>
          <w:rFonts w:hint="eastAsia"/>
          <w:sz w:val="28"/>
          <w:szCs w:val="28"/>
        </w:rPr>
        <w:t>季度，</w:t>
      </w:r>
      <w:r w:rsidRPr="00332FD2">
        <w:rPr>
          <w:rFonts w:hint="eastAsia"/>
          <w:sz w:val="28"/>
          <w:szCs w:val="28"/>
        </w:rPr>
        <w:t>GDP</w:t>
      </w:r>
      <w:r w:rsidRPr="00332FD2">
        <w:rPr>
          <w:rFonts w:hint="eastAsia"/>
          <w:sz w:val="28"/>
          <w:szCs w:val="28"/>
        </w:rPr>
        <w:t>增长</w:t>
      </w:r>
      <w:r w:rsidRPr="00332FD2">
        <w:rPr>
          <w:rFonts w:hint="eastAsia"/>
          <w:sz w:val="28"/>
          <w:szCs w:val="28"/>
        </w:rPr>
        <w:t>6.8%</w:t>
      </w:r>
      <w:r w:rsidRPr="00332FD2">
        <w:rPr>
          <w:rFonts w:hint="eastAsia"/>
          <w:sz w:val="28"/>
          <w:szCs w:val="28"/>
        </w:rPr>
        <w:t>，而税收增长</w:t>
      </w:r>
      <w:r w:rsidRPr="00332FD2">
        <w:rPr>
          <w:rFonts w:hint="eastAsia"/>
          <w:sz w:val="28"/>
          <w:szCs w:val="28"/>
        </w:rPr>
        <w:t>17.8%</w:t>
      </w:r>
      <w:r w:rsidRPr="00332FD2">
        <w:rPr>
          <w:rFonts w:hint="eastAsia"/>
          <w:sz w:val="28"/>
          <w:szCs w:val="28"/>
        </w:rPr>
        <w:t>。所以减税的步子还可以迈得更大一些。比如，增值税税率可以下调</w:t>
      </w:r>
      <w:r w:rsidRPr="00332FD2">
        <w:rPr>
          <w:rFonts w:hint="eastAsia"/>
          <w:sz w:val="28"/>
          <w:szCs w:val="28"/>
        </w:rPr>
        <w:t>2</w:t>
      </w:r>
      <w:r w:rsidRPr="00332FD2">
        <w:rPr>
          <w:rFonts w:hint="eastAsia"/>
          <w:sz w:val="28"/>
          <w:szCs w:val="28"/>
        </w:rPr>
        <w:t>、</w:t>
      </w:r>
      <w:r w:rsidRPr="00332FD2">
        <w:rPr>
          <w:rFonts w:hint="eastAsia"/>
          <w:sz w:val="28"/>
          <w:szCs w:val="28"/>
        </w:rPr>
        <w:t>3</w:t>
      </w:r>
      <w:r w:rsidRPr="00332FD2">
        <w:rPr>
          <w:rFonts w:hint="eastAsia"/>
          <w:sz w:val="28"/>
          <w:szCs w:val="28"/>
        </w:rPr>
        <w:t>个百分点。</w:t>
      </w:r>
    </w:p>
    <w:p w:rsidR="009D28FF" w:rsidRPr="00332FD2" w:rsidRDefault="009D28FF" w:rsidP="009D28FF">
      <w:pPr>
        <w:rPr>
          <w:sz w:val="28"/>
          <w:szCs w:val="28"/>
        </w:rPr>
      </w:pPr>
    </w:p>
    <w:p w:rsidR="009D28FF" w:rsidRPr="00332FD2" w:rsidRDefault="009D28FF" w:rsidP="009D28FF">
      <w:pPr>
        <w:pStyle w:val="a7"/>
        <w:numPr>
          <w:ilvl w:val="0"/>
          <w:numId w:val="3"/>
        </w:numPr>
        <w:ind w:firstLineChars="0"/>
        <w:rPr>
          <w:sz w:val="28"/>
          <w:szCs w:val="28"/>
        </w:rPr>
      </w:pPr>
      <w:r w:rsidRPr="00332FD2">
        <w:rPr>
          <w:rFonts w:hint="eastAsia"/>
          <w:sz w:val="28"/>
          <w:szCs w:val="28"/>
        </w:rPr>
        <w:t>中美贸易摩擦</w:t>
      </w:r>
    </w:p>
    <w:p w:rsidR="009D28FF" w:rsidRPr="00332FD2" w:rsidRDefault="009D28FF" w:rsidP="009D28FF">
      <w:pPr>
        <w:rPr>
          <w:sz w:val="28"/>
          <w:szCs w:val="28"/>
        </w:rPr>
      </w:pPr>
    </w:p>
    <w:p w:rsidR="009D28FF" w:rsidRPr="00332FD2" w:rsidRDefault="009D28FF" w:rsidP="009D28FF">
      <w:pPr>
        <w:ind w:firstLine="540"/>
        <w:rPr>
          <w:sz w:val="28"/>
          <w:szCs w:val="28"/>
        </w:rPr>
      </w:pPr>
      <w:r w:rsidRPr="00332FD2">
        <w:rPr>
          <w:rFonts w:hint="eastAsia"/>
          <w:sz w:val="28"/>
          <w:szCs w:val="28"/>
        </w:rPr>
        <w:t>中美贸易摩擦不仅是本季度中国社会经济中的大事，也是世界政治经济中的大事，其影响不仅直接关系到中美关系及其发展，而且关系到国际大局的稳定和走向。因此，需要重点加以讨论。</w:t>
      </w:r>
    </w:p>
    <w:p w:rsidR="009D28FF" w:rsidRPr="00332FD2" w:rsidRDefault="009D28FF" w:rsidP="009D28FF">
      <w:pPr>
        <w:ind w:firstLine="540"/>
        <w:rPr>
          <w:sz w:val="28"/>
          <w:szCs w:val="28"/>
        </w:rPr>
      </w:pPr>
    </w:p>
    <w:p w:rsidR="009D28FF" w:rsidRPr="00332FD2" w:rsidRDefault="009D28FF" w:rsidP="009D28FF">
      <w:pPr>
        <w:ind w:firstLine="540"/>
        <w:rPr>
          <w:sz w:val="28"/>
          <w:szCs w:val="28"/>
        </w:rPr>
      </w:pPr>
      <w:r w:rsidRPr="00332FD2">
        <w:rPr>
          <w:rFonts w:hint="eastAsia"/>
          <w:sz w:val="28"/>
          <w:szCs w:val="28"/>
        </w:rPr>
        <w:lastRenderedPageBreak/>
        <w:t>3-1</w:t>
      </w:r>
      <w:r w:rsidRPr="00332FD2">
        <w:rPr>
          <w:rFonts w:hint="eastAsia"/>
          <w:sz w:val="28"/>
          <w:szCs w:val="28"/>
        </w:rPr>
        <w:t>，贸易摩擦经过</w:t>
      </w:r>
    </w:p>
    <w:p w:rsidR="009D28FF" w:rsidRPr="00332FD2" w:rsidRDefault="009D28FF" w:rsidP="009D28FF">
      <w:pPr>
        <w:ind w:firstLine="540"/>
        <w:rPr>
          <w:sz w:val="28"/>
          <w:szCs w:val="28"/>
        </w:rPr>
      </w:pPr>
      <w:r w:rsidRPr="00332FD2">
        <w:rPr>
          <w:rFonts w:hint="eastAsia"/>
          <w:sz w:val="28"/>
          <w:szCs w:val="28"/>
        </w:rPr>
        <w:t>此次中美贸易摩擦，美国是有备而来，中国也很强硬。到目前为止，双方你来我往，采取了如下行动和做法。</w:t>
      </w:r>
    </w:p>
    <w:p w:rsidR="009D28FF" w:rsidRPr="00332FD2" w:rsidRDefault="009D28FF" w:rsidP="009D28FF">
      <w:pPr>
        <w:ind w:firstLine="540"/>
        <w:rPr>
          <w:sz w:val="28"/>
          <w:szCs w:val="28"/>
        </w:rPr>
      </w:pPr>
      <w:r w:rsidRPr="00332FD2">
        <w:rPr>
          <w:rFonts w:hint="eastAsia"/>
          <w:sz w:val="28"/>
          <w:szCs w:val="28"/>
        </w:rPr>
        <w:t>去年</w:t>
      </w:r>
      <w:r w:rsidRPr="00332FD2">
        <w:rPr>
          <w:rFonts w:hint="eastAsia"/>
          <w:sz w:val="28"/>
          <w:szCs w:val="28"/>
        </w:rPr>
        <w:t>8</w:t>
      </w:r>
      <w:r w:rsidRPr="00332FD2">
        <w:rPr>
          <w:rFonts w:hint="eastAsia"/>
          <w:sz w:val="28"/>
          <w:szCs w:val="28"/>
        </w:rPr>
        <w:t>月，美国总统特朗普的贸易代表办公室宣布对中国发起</w:t>
      </w:r>
      <w:r w:rsidRPr="00332FD2">
        <w:rPr>
          <w:rFonts w:hint="eastAsia"/>
          <w:sz w:val="28"/>
          <w:szCs w:val="28"/>
        </w:rPr>
        <w:t>301</w:t>
      </w:r>
      <w:r w:rsidRPr="00332FD2">
        <w:rPr>
          <w:rFonts w:hint="eastAsia"/>
          <w:sz w:val="28"/>
          <w:szCs w:val="28"/>
        </w:rPr>
        <w:t>条款调查，内容涉及中国知识产权制度、以及中国迫使美国企业转让技术的作法</w:t>
      </w:r>
      <w:r w:rsidR="008E101B">
        <w:rPr>
          <w:rFonts w:hint="eastAsia"/>
          <w:sz w:val="28"/>
          <w:szCs w:val="28"/>
        </w:rPr>
        <w:t>。</w:t>
      </w:r>
      <w:r w:rsidRPr="00332FD2">
        <w:rPr>
          <w:rFonts w:hint="eastAsia"/>
          <w:sz w:val="28"/>
          <w:szCs w:val="28"/>
        </w:rPr>
        <w:t>特朗普当时宣称，“这仅仅是个开始”。这就拉开了贸易摩擦的序幕。</w:t>
      </w:r>
    </w:p>
    <w:p w:rsidR="009D28FF" w:rsidRPr="00332FD2" w:rsidRDefault="009D28FF" w:rsidP="009D28FF">
      <w:pPr>
        <w:ind w:firstLine="540"/>
        <w:rPr>
          <w:sz w:val="28"/>
          <w:szCs w:val="28"/>
        </w:rPr>
      </w:pPr>
      <w:r w:rsidRPr="00332FD2">
        <w:rPr>
          <w:rFonts w:hint="eastAsia"/>
          <w:sz w:val="28"/>
          <w:szCs w:val="28"/>
        </w:rPr>
        <w:t>今年</w:t>
      </w:r>
      <w:r w:rsidRPr="00332FD2">
        <w:rPr>
          <w:rFonts w:hint="eastAsia"/>
          <w:sz w:val="28"/>
          <w:szCs w:val="28"/>
        </w:rPr>
        <w:t>2</w:t>
      </w:r>
      <w:r w:rsidRPr="00332FD2">
        <w:rPr>
          <w:rFonts w:hint="eastAsia"/>
          <w:sz w:val="28"/>
          <w:szCs w:val="28"/>
        </w:rPr>
        <w:t>月</w:t>
      </w:r>
      <w:r w:rsidRPr="00332FD2">
        <w:rPr>
          <w:rFonts w:hint="eastAsia"/>
          <w:sz w:val="28"/>
          <w:szCs w:val="28"/>
        </w:rPr>
        <w:t>27</w:t>
      </w:r>
      <w:r w:rsidRPr="00332FD2">
        <w:rPr>
          <w:rFonts w:hint="eastAsia"/>
          <w:sz w:val="28"/>
          <w:szCs w:val="28"/>
        </w:rPr>
        <w:t>日，美国商务部发表声明，认定中国铝箔制造商获得不公平补贴并向美国倾销产品，因而对中国铝箔加征</w:t>
      </w:r>
      <w:r w:rsidRPr="00332FD2">
        <w:rPr>
          <w:rFonts w:hint="eastAsia"/>
          <w:sz w:val="28"/>
          <w:szCs w:val="28"/>
        </w:rPr>
        <w:t>49-106%</w:t>
      </w:r>
      <w:r w:rsidRPr="00332FD2">
        <w:rPr>
          <w:rFonts w:hint="eastAsia"/>
          <w:sz w:val="28"/>
          <w:szCs w:val="28"/>
        </w:rPr>
        <w:t>的关税。</w:t>
      </w:r>
      <w:r w:rsidRPr="00332FD2">
        <w:rPr>
          <w:rFonts w:hint="eastAsia"/>
          <w:sz w:val="28"/>
          <w:szCs w:val="28"/>
        </w:rPr>
        <w:t>3</w:t>
      </w:r>
      <w:r w:rsidRPr="00332FD2">
        <w:rPr>
          <w:rFonts w:hint="eastAsia"/>
          <w:sz w:val="28"/>
          <w:szCs w:val="28"/>
        </w:rPr>
        <w:t>月</w:t>
      </w:r>
      <w:r w:rsidRPr="00332FD2">
        <w:rPr>
          <w:rFonts w:hint="eastAsia"/>
          <w:sz w:val="28"/>
          <w:szCs w:val="28"/>
        </w:rPr>
        <w:t>15</w:t>
      </w:r>
      <w:r w:rsidRPr="00332FD2">
        <w:rPr>
          <w:rFonts w:hint="eastAsia"/>
          <w:sz w:val="28"/>
          <w:szCs w:val="28"/>
        </w:rPr>
        <w:t>日，美国国际贸易委员会做出终裁，对中国铝箔产品征收反倾销反补贴关税。其依据是美国商务部进行的“</w:t>
      </w:r>
      <w:r w:rsidRPr="00332FD2">
        <w:rPr>
          <w:rFonts w:hint="eastAsia"/>
          <w:sz w:val="28"/>
          <w:szCs w:val="28"/>
        </w:rPr>
        <w:t>232</w:t>
      </w:r>
      <w:r w:rsidRPr="00332FD2">
        <w:rPr>
          <w:rFonts w:hint="eastAsia"/>
          <w:sz w:val="28"/>
          <w:szCs w:val="28"/>
        </w:rPr>
        <w:t>”调查。</w:t>
      </w:r>
    </w:p>
    <w:p w:rsidR="009D28FF" w:rsidRPr="00332FD2" w:rsidRDefault="009D28FF" w:rsidP="009D28FF">
      <w:pPr>
        <w:ind w:firstLine="540"/>
        <w:rPr>
          <w:sz w:val="28"/>
          <w:szCs w:val="28"/>
        </w:rPr>
      </w:pPr>
      <w:r w:rsidRPr="00332FD2">
        <w:rPr>
          <w:rFonts w:hint="eastAsia"/>
          <w:sz w:val="28"/>
          <w:szCs w:val="28"/>
        </w:rPr>
        <w:t>3</w:t>
      </w:r>
      <w:r w:rsidRPr="00332FD2">
        <w:rPr>
          <w:rFonts w:hint="eastAsia"/>
          <w:sz w:val="28"/>
          <w:szCs w:val="28"/>
        </w:rPr>
        <w:t>月</w:t>
      </w:r>
      <w:r w:rsidRPr="00332FD2">
        <w:rPr>
          <w:rFonts w:hint="eastAsia"/>
          <w:sz w:val="28"/>
          <w:szCs w:val="28"/>
        </w:rPr>
        <w:t>8</w:t>
      </w:r>
      <w:r w:rsidRPr="00332FD2">
        <w:rPr>
          <w:rFonts w:hint="eastAsia"/>
          <w:sz w:val="28"/>
          <w:szCs w:val="28"/>
        </w:rPr>
        <w:t>日，特朗普签署公告对进口钢铁产品征收</w:t>
      </w:r>
      <w:r w:rsidRPr="00332FD2">
        <w:rPr>
          <w:rFonts w:hint="eastAsia"/>
          <w:sz w:val="28"/>
          <w:szCs w:val="28"/>
        </w:rPr>
        <w:t>25%</w:t>
      </w:r>
      <w:r w:rsidRPr="00332FD2">
        <w:rPr>
          <w:rFonts w:hint="eastAsia"/>
          <w:sz w:val="28"/>
          <w:szCs w:val="28"/>
        </w:rPr>
        <w:t>的关税，对进口铝产品征收</w:t>
      </w:r>
      <w:r w:rsidRPr="00332FD2">
        <w:rPr>
          <w:rFonts w:hint="eastAsia"/>
          <w:sz w:val="28"/>
          <w:szCs w:val="28"/>
        </w:rPr>
        <w:t>10%</w:t>
      </w:r>
      <w:r w:rsidRPr="00332FD2">
        <w:rPr>
          <w:rFonts w:hint="eastAsia"/>
          <w:sz w:val="28"/>
          <w:szCs w:val="28"/>
        </w:rPr>
        <w:t>的关税，关税措施将在</w:t>
      </w:r>
      <w:r w:rsidRPr="00332FD2">
        <w:rPr>
          <w:rFonts w:hint="eastAsia"/>
          <w:sz w:val="28"/>
          <w:szCs w:val="28"/>
        </w:rPr>
        <w:t>15</w:t>
      </w:r>
      <w:r w:rsidRPr="00332FD2">
        <w:rPr>
          <w:rFonts w:hint="eastAsia"/>
          <w:sz w:val="28"/>
          <w:szCs w:val="28"/>
        </w:rPr>
        <w:t>天后生效。</w:t>
      </w:r>
      <w:r w:rsidRPr="00332FD2">
        <w:rPr>
          <w:rFonts w:hint="eastAsia"/>
          <w:sz w:val="28"/>
          <w:szCs w:val="28"/>
        </w:rPr>
        <w:t>3</w:t>
      </w:r>
      <w:r w:rsidRPr="00332FD2">
        <w:rPr>
          <w:rFonts w:hint="eastAsia"/>
          <w:sz w:val="28"/>
          <w:szCs w:val="28"/>
        </w:rPr>
        <w:t>月</w:t>
      </w:r>
      <w:r w:rsidRPr="00332FD2">
        <w:rPr>
          <w:rFonts w:hint="eastAsia"/>
          <w:sz w:val="28"/>
          <w:szCs w:val="28"/>
        </w:rPr>
        <w:t>16</w:t>
      </w:r>
      <w:r w:rsidRPr="00332FD2">
        <w:rPr>
          <w:rFonts w:hint="eastAsia"/>
          <w:sz w:val="28"/>
          <w:szCs w:val="28"/>
        </w:rPr>
        <w:t>日，欧盟公布一份清单，拟在不能获得特朗普钢铝关税豁免权的情况下对清单上的产品征税。清单包括早餐食品、厨具、服装和鞋类、洗衣机、纺织品、威士忌、摩托车、船只和电池等数十种产品，年贸易额</w:t>
      </w:r>
      <w:r w:rsidRPr="00332FD2">
        <w:rPr>
          <w:rFonts w:hint="eastAsia"/>
          <w:sz w:val="28"/>
          <w:szCs w:val="28"/>
        </w:rPr>
        <w:t>28</w:t>
      </w:r>
      <w:r w:rsidRPr="00332FD2">
        <w:rPr>
          <w:rFonts w:hint="eastAsia"/>
          <w:sz w:val="28"/>
          <w:szCs w:val="28"/>
        </w:rPr>
        <w:t>亿欧元。通过谈判美，宣布对欧盟和其他国家钢铝产品关税豁免</w:t>
      </w:r>
      <w:r w:rsidR="008E101B">
        <w:rPr>
          <w:rFonts w:hint="eastAsia"/>
          <w:sz w:val="28"/>
          <w:szCs w:val="28"/>
        </w:rPr>
        <w:t>。</w:t>
      </w:r>
      <w:r w:rsidRPr="00332FD2">
        <w:rPr>
          <w:rFonts w:hint="eastAsia"/>
          <w:sz w:val="28"/>
          <w:szCs w:val="28"/>
        </w:rPr>
        <w:t>这样一来，就单单对中国产品征税。</w:t>
      </w:r>
    </w:p>
    <w:p w:rsidR="009D28FF" w:rsidRPr="00332FD2" w:rsidRDefault="009D28FF" w:rsidP="009D28FF">
      <w:pPr>
        <w:ind w:firstLine="540"/>
        <w:rPr>
          <w:sz w:val="28"/>
          <w:szCs w:val="28"/>
        </w:rPr>
      </w:pPr>
      <w:r w:rsidRPr="00332FD2">
        <w:rPr>
          <w:rFonts w:hint="eastAsia"/>
          <w:sz w:val="28"/>
          <w:szCs w:val="28"/>
        </w:rPr>
        <w:t>鉴于此，经国务院批准，国务院关税税则委员会决定，从</w:t>
      </w:r>
      <w:r w:rsidRPr="00332FD2">
        <w:rPr>
          <w:rFonts w:hint="eastAsia"/>
          <w:sz w:val="28"/>
          <w:szCs w:val="28"/>
        </w:rPr>
        <w:t>4</w:t>
      </w:r>
      <w:r w:rsidRPr="00332FD2">
        <w:rPr>
          <w:rFonts w:hint="eastAsia"/>
          <w:sz w:val="28"/>
          <w:szCs w:val="28"/>
        </w:rPr>
        <w:t>月</w:t>
      </w:r>
      <w:r w:rsidRPr="00332FD2">
        <w:rPr>
          <w:rFonts w:hint="eastAsia"/>
          <w:sz w:val="28"/>
          <w:szCs w:val="28"/>
        </w:rPr>
        <w:t>2</w:t>
      </w:r>
      <w:r w:rsidRPr="00332FD2">
        <w:rPr>
          <w:rFonts w:hint="eastAsia"/>
          <w:sz w:val="28"/>
          <w:szCs w:val="28"/>
        </w:rPr>
        <w:t>日起，对原产于美国的</w:t>
      </w:r>
      <w:r w:rsidRPr="00332FD2">
        <w:rPr>
          <w:rFonts w:hint="eastAsia"/>
          <w:sz w:val="28"/>
          <w:szCs w:val="28"/>
        </w:rPr>
        <w:t>7</w:t>
      </w:r>
      <w:r w:rsidRPr="00332FD2">
        <w:rPr>
          <w:rFonts w:hint="eastAsia"/>
          <w:sz w:val="28"/>
          <w:szCs w:val="28"/>
        </w:rPr>
        <w:t>类</w:t>
      </w:r>
      <w:r w:rsidRPr="00332FD2">
        <w:rPr>
          <w:rFonts w:hint="eastAsia"/>
          <w:sz w:val="28"/>
          <w:szCs w:val="28"/>
        </w:rPr>
        <w:t>128</w:t>
      </w:r>
      <w:r w:rsidRPr="00332FD2">
        <w:rPr>
          <w:rFonts w:hint="eastAsia"/>
          <w:sz w:val="28"/>
          <w:szCs w:val="28"/>
        </w:rPr>
        <w:t>项进口商品中止关税减让义务，在现行适用关税税率基础上加征关税，对水果及其制品等</w:t>
      </w:r>
      <w:r w:rsidRPr="00332FD2">
        <w:rPr>
          <w:rFonts w:hint="eastAsia"/>
          <w:sz w:val="28"/>
          <w:szCs w:val="28"/>
        </w:rPr>
        <w:t>120</w:t>
      </w:r>
      <w:r w:rsidRPr="00332FD2">
        <w:rPr>
          <w:rFonts w:hint="eastAsia"/>
          <w:sz w:val="28"/>
          <w:szCs w:val="28"/>
        </w:rPr>
        <w:t>项进口商品加征关税税率为</w:t>
      </w:r>
      <w:r w:rsidRPr="00332FD2">
        <w:rPr>
          <w:rFonts w:hint="eastAsia"/>
          <w:sz w:val="28"/>
          <w:szCs w:val="28"/>
        </w:rPr>
        <w:t>15%</w:t>
      </w:r>
      <w:r w:rsidRPr="00332FD2">
        <w:rPr>
          <w:rFonts w:hint="eastAsia"/>
          <w:sz w:val="28"/>
          <w:szCs w:val="28"/>
        </w:rPr>
        <w:t>，对猪肉及其制品等</w:t>
      </w:r>
      <w:r w:rsidRPr="00332FD2">
        <w:rPr>
          <w:rFonts w:hint="eastAsia"/>
          <w:sz w:val="28"/>
          <w:szCs w:val="28"/>
        </w:rPr>
        <w:t>8</w:t>
      </w:r>
      <w:r w:rsidRPr="00332FD2">
        <w:rPr>
          <w:rFonts w:hint="eastAsia"/>
          <w:sz w:val="28"/>
          <w:szCs w:val="28"/>
        </w:rPr>
        <w:t>项进口商品加征关税税率</w:t>
      </w:r>
      <w:r w:rsidRPr="00332FD2">
        <w:rPr>
          <w:rFonts w:hint="eastAsia"/>
          <w:sz w:val="28"/>
          <w:szCs w:val="28"/>
        </w:rPr>
        <w:lastRenderedPageBreak/>
        <w:t>为</w:t>
      </w:r>
      <w:r w:rsidRPr="00332FD2">
        <w:rPr>
          <w:rFonts w:hint="eastAsia"/>
          <w:sz w:val="28"/>
          <w:szCs w:val="28"/>
        </w:rPr>
        <w:t>25%</w:t>
      </w:r>
      <w:r w:rsidRPr="00332FD2">
        <w:rPr>
          <w:rFonts w:hint="eastAsia"/>
          <w:sz w:val="28"/>
          <w:szCs w:val="28"/>
        </w:rPr>
        <w:t>，此举涉及</w:t>
      </w:r>
      <w:r w:rsidRPr="00332FD2">
        <w:rPr>
          <w:rFonts w:hint="eastAsia"/>
          <w:sz w:val="28"/>
          <w:szCs w:val="28"/>
        </w:rPr>
        <w:t>30</w:t>
      </w:r>
      <w:r w:rsidRPr="00332FD2">
        <w:rPr>
          <w:rFonts w:hint="eastAsia"/>
          <w:sz w:val="28"/>
          <w:szCs w:val="28"/>
        </w:rPr>
        <w:t>亿美元的进口商品。</w:t>
      </w:r>
      <w:r w:rsidRPr="00332FD2">
        <w:rPr>
          <w:rFonts w:hint="eastAsia"/>
          <w:sz w:val="28"/>
          <w:szCs w:val="28"/>
        </w:rPr>
        <w:t>4</w:t>
      </w:r>
      <w:r w:rsidRPr="00332FD2">
        <w:rPr>
          <w:rFonts w:hint="eastAsia"/>
          <w:sz w:val="28"/>
          <w:szCs w:val="28"/>
        </w:rPr>
        <w:t>月</w:t>
      </w:r>
      <w:r w:rsidRPr="00332FD2">
        <w:rPr>
          <w:rFonts w:hint="eastAsia"/>
          <w:sz w:val="28"/>
          <w:szCs w:val="28"/>
        </w:rPr>
        <w:t>5</w:t>
      </w:r>
      <w:r w:rsidRPr="00332FD2">
        <w:rPr>
          <w:rFonts w:hint="eastAsia"/>
          <w:sz w:val="28"/>
          <w:szCs w:val="28"/>
        </w:rPr>
        <w:t>日，中国商务部对美国进口钢铁和铝产品</w:t>
      </w:r>
      <w:r w:rsidR="008E101B">
        <w:rPr>
          <w:rFonts w:hint="eastAsia"/>
          <w:sz w:val="28"/>
          <w:szCs w:val="28"/>
        </w:rPr>
        <w:t>的</w:t>
      </w:r>
      <w:r w:rsidRPr="00332FD2">
        <w:rPr>
          <w:rFonts w:hint="eastAsia"/>
          <w:sz w:val="28"/>
          <w:szCs w:val="28"/>
        </w:rPr>
        <w:t>232</w:t>
      </w:r>
      <w:r w:rsidRPr="00332FD2">
        <w:rPr>
          <w:rFonts w:hint="eastAsia"/>
          <w:sz w:val="28"/>
          <w:szCs w:val="28"/>
        </w:rPr>
        <w:t>措施，在世贸组织争端解决机制项下向美方提出磋商请求，正式启动争端解决程序。</w:t>
      </w:r>
    </w:p>
    <w:p w:rsidR="009D28FF" w:rsidRPr="00332FD2" w:rsidRDefault="009D28FF" w:rsidP="009D28FF">
      <w:pPr>
        <w:ind w:firstLine="540"/>
        <w:rPr>
          <w:sz w:val="28"/>
          <w:szCs w:val="28"/>
        </w:rPr>
      </w:pPr>
      <w:r w:rsidRPr="00332FD2">
        <w:rPr>
          <w:rFonts w:hint="eastAsia"/>
          <w:sz w:val="28"/>
          <w:szCs w:val="28"/>
        </w:rPr>
        <w:t>3</w:t>
      </w:r>
      <w:r w:rsidRPr="00332FD2">
        <w:rPr>
          <w:rFonts w:hint="eastAsia"/>
          <w:sz w:val="28"/>
          <w:szCs w:val="28"/>
        </w:rPr>
        <w:t>月</w:t>
      </w:r>
      <w:r w:rsidRPr="00332FD2">
        <w:rPr>
          <w:rFonts w:hint="eastAsia"/>
          <w:sz w:val="28"/>
          <w:szCs w:val="28"/>
        </w:rPr>
        <w:t>22</w:t>
      </w:r>
      <w:r w:rsidRPr="00332FD2">
        <w:rPr>
          <w:rFonts w:hint="eastAsia"/>
          <w:sz w:val="28"/>
          <w:szCs w:val="28"/>
        </w:rPr>
        <w:t>日，特朗普签署总统备忘录，对价值高达</w:t>
      </w:r>
      <w:r w:rsidRPr="00332FD2">
        <w:rPr>
          <w:rFonts w:hint="eastAsia"/>
          <w:sz w:val="28"/>
          <w:szCs w:val="28"/>
        </w:rPr>
        <w:t>600</w:t>
      </w:r>
      <w:r w:rsidRPr="00332FD2">
        <w:rPr>
          <w:rFonts w:hint="eastAsia"/>
          <w:sz w:val="28"/>
          <w:szCs w:val="28"/>
        </w:rPr>
        <w:t>亿美元的中国商品加征关税，理由是美国政府认定中国对美国知识产权的不当占有。</w:t>
      </w:r>
      <w:r w:rsidRPr="00332FD2">
        <w:rPr>
          <w:rFonts w:hint="eastAsia"/>
          <w:sz w:val="28"/>
          <w:szCs w:val="28"/>
        </w:rPr>
        <w:t>4</w:t>
      </w:r>
      <w:r w:rsidRPr="00332FD2">
        <w:rPr>
          <w:rFonts w:hint="eastAsia"/>
          <w:sz w:val="28"/>
          <w:szCs w:val="28"/>
        </w:rPr>
        <w:t>月</w:t>
      </w:r>
      <w:r w:rsidRPr="00332FD2">
        <w:rPr>
          <w:rFonts w:hint="eastAsia"/>
          <w:sz w:val="28"/>
          <w:szCs w:val="28"/>
        </w:rPr>
        <w:t>3</w:t>
      </w:r>
      <w:r w:rsidRPr="00332FD2">
        <w:rPr>
          <w:rFonts w:hint="eastAsia"/>
          <w:sz w:val="28"/>
          <w:szCs w:val="28"/>
        </w:rPr>
        <w:t>日，美国政府发布了加征关税的商品清单，将对中国输美的</w:t>
      </w:r>
      <w:r w:rsidRPr="00332FD2">
        <w:rPr>
          <w:rFonts w:hint="eastAsia"/>
          <w:sz w:val="28"/>
          <w:szCs w:val="28"/>
        </w:rPr>
        <w:t>1333</w:t>
      </w:r>
      <w:r w:rsidRPr="00332FD2">
        <w:rPr>
          <w:rFonts w:hint="eastAsia"/>
          <w:sz w:val="28"/>
          <w:szCs w:val="28"/>
        </w:rPr>
        <w:t>项</w:t>
      </w:r>
      <w:r w:rsidRPr="00332FD2">
        <w:rPr>
          <w:rFonts w:hint="eastAsia"/>
          <w:sz w:val="28"/>
          <w:szCs w:val="28"/>
        </w:rPr>
        <w:t>500</w:t>
      </w:r>
      <w:r w:rsidRPr="00332FD2">
        <w:rPr>
          <w:rFonts w:hint="eastAsia"/>
          <w:sz w:val="28"/>
          <w:szCs w:val="28"/>
        </w:rPr>
        <w:t>亿美元的商品加征</w:t>
      </w:r>
      <w:r w:rsidRPr="00332FD2">
        <w:rPr>
          <w:rFonts w:hint="eastAsia"/>
          <w:sz w:val="28"/>
          <w:szCs w:val="28"/>
        </w:rPr>
        <w:t>25%</w:t>
      </w:r>
      <w:r w:rsidRPr="00332FD2">
        <w:rPr>
          <w:rFonts w:hint="eastAsia"/>
          <w:sz w:val="28"/>
          <w:szCs w:val="28"/>
        </w:rPr>
        <w:t>的关税，其中许多是技术行业的产品。</w:t>
      </w:r>
    </w:p>
    <w:p w:rsidR="009D28FF" w:rsidRPr="00332FD2" w:rsidRDefault="009D28FF" w:rsidP="009D28FF">
      <w:pPr>
        <w:ind w:firstLine="540"/>
        <w:rPr>
          <w:sz w:val="28"/>
          <w:szCs w:val="28"/>
        </w:rPr>
      </w:pPr>
      <w:r w:rsidRPr="00332FD2">
        <w:rPr>
          <w:rFonts w:hint="eastAsia"/>
          <w:sz w:val="28"/>
          <w:szCs w:val="28"/>
        </w:rPr>
        <w:t>4</w:t>
      </w:r>
      <w:r w:rsidRPr="00332FD2">
        <w:rPr>
          <w:rFonts w:hint="eastAsia"/>
          <w:sz w:val="28"/>
          <w:szCs w:val="28"/>
        </w:rPr>
        <w:t>月</w:t>
      </w:r>
      <w:r w:rsidRPr="00332FD2">
        <w:rPr>
          <w:rFonts w:hint="eastAsia"/>
          <w:sz w:val="28"/>
          <w:szCs w:val="28"/>
        </w:rPr>
        <w:t>4</w:t>
      </w:r>
      <w:r w:rsidRPr="00332FD2">
        <w:rPr>
          <w:rFonts w:hint="eastAsia"/>
          <w:sz w:val="28"/>
          <w:szCs w:val="28"/>
        </w:rPr>
        <w:t>日，中国财政部公布，经国务院批准，国务院关税税则委员会决定，对原产于美国的大豆、汽车、化工品等</w:t>
      </w:r>
      <w:r w:rsidRPr="00332FD2">
        <w:rPr>
          <w:rFonts w:hint="eastAsia"/>
          <w:sz w:val="28"/>
          <w:szCs w:val="28"/>
        </w:rPr>
        <w:t>14</w:t>
      </w:r>
      <w:r w:rsidRPr="00332FD2">
        <w:rPr>
          <w:rFonts w:hint="eastAsia"/>
          <w:sz w:val="28"/>
          <w:szCs w:val="28"/>
        </w:rPr>
        <w:t>类</w:t>
      </w:r>
      <w:r w:rsidRPr="00332FD2">
        <w:rPr>
          <w:rFonts w:hint="eastAsia"/>
          <w:sz w:val="28"/>
          <w:szCs w:val="28"/>
        </w:rPr>
        <w:t>106</w:t>
      </w:r>
      <w:r w:rsidRPr="00332FD2">
        <w:rPr>
          <w:rFonts w:hint="eastAsia"/>
          <w:sz w:val="28"/>
          <w:szCs w:val="28"/>
        </w:rPr>
        <w:t>项商品加征</w:t>
      </w:r>
      <w:r w:rsidRPr="00332FD2">
        <w:rPr>
          <w:rFonts w:hint="eastAsia"/>
          <w:sz w:val="28"/>
          <w:szCs w:val="28"/>
        </w:rPr>
        <w:t>25%</w:t>
      </w:r>
      <w:r w:rsidRPr="00332FD2">
        <w:rPr>
          <w:rFonts w:hint="eastAsia"/>
          <w:sz w:val="28"/>
          <w:szCs w:val="28"/>
        </w:rPr>
        <w:t>的关税。</w:t>
      </w:r>
    </w:p>
    <w:p w:rsidR="009D28FF" w:rsidRPr="00332FD2" w:rsidRDefault="009D28FF" w:rsidP="009D28FF">
      <w:pPr>
        <w:ind w:firstLine="540"/>
        <w:rPr>
          <w:sz w:val="28"/>
          <w:szCs w:val="28"/>
        </w:rPr>
      </w:pPr>
      <w:r w:rsidRPr="00332FD2">
        <w:rPr>
          <w:rFonts w:hint="eastAsia"/>
          <w:sz w:val="28"/>
          <w:szCs w:val="28"/>
        </w:rPr>
        <w:t>4</w:t>
      </w:r>
      <w:r w:rsidRPr="00332FD2">
        <w:rPr>
          <w:rFonts w:hint="eastAsia"/>
          <w:sz w:val="28"/>
          <w:szCs w:val="28"/>
        </w:rPr>
        <w:t>月</w:t>
      </w:r>
      <w:r w:rsidRPr="00332FD2">
        <w:rPr>
          <w:rFonts w:hint="eastAsia"/>
          <w:sz w:val="28"/>
          <w:szCs w:val="28"/>
        </w:rPr>
        <w:t>5</w:t>
      </w:r>
      <w:r w:rsidRPr="00332FD2">
        <w:rPr>
          <w:rFonts w:hint="eastAsia"/>
          <w:sz w:val="28"/>
          <w:szCs w:val="28"/>
        </w:rPr>
        <w:t>日，特朗普要求美国贸易代表考虑另外对</w:t>
      </w:r>
      <w:r w:rsidRPr="00332FD2">
        <w:rPr>
          <w:rFonts w:hint="eastAsia"/>
          <w:sz w:val="28"/>
          <w:szCs w:val="28"/>
        </w:rPr>
        <w:t>1000</w:t>
      </w:r>
      <w:r w:rsidRPr="00332FD2">
        <w:rPr>
          <w:rFonts w:hint="eastAsia"/>
          <w:sz w:val="28"/>
          <w:szCs w:val="28"/>
        </w:rPr>
        <w:t>亿美元的中国商品加征报复性关税。</w:t>
      </w:r>
      <w:r w:rsidRPr="00332FD2">
        <w:rPr>
          <w:rFonts w:hint="eastAsia"/>
          <w:sz w:val="28"/>
          <w:szCs w:val="28"/>
        </w:rPr>
        <w:t>4</w:t>
      </w:r>
      <w:r w:rsidRPr="00332FD2">
        <w:rPr>
          <w:rFonts w:hint="eastAsia"/>
          <w:sz w:val="28"/>
          <w:szCs w:val="28"/>
        </w:rPr>
        <w:t>月</w:t>
      </w:r>
      <w:r w:rsidRPr="00332FD2">
        <w:rPr>
          <w:rFonts w:hint="eastAsia"/>
          <w:sz w:val="28"/>
          <w:szCs w:val="28"/>
        </w:rPr>
        <w:t>6</w:t>
      </w:r>
      <w:r w:rsidRPr="00332FD2">
        <w:rPr>
          <w:rFonts w:hint="eastAsia"/>
          <w:sz w:val="28"/>
          <w:szCs w:val="28"/>
        </w:rPr>
        <w:t>日，中国商务部发言人高峰和外交部发言人陆慷表示，如果美方公布新增</w:t>
      </w:r>
      <w:r w:rsidRPr="00332FD2">
        <w:rPr>
          <w:rFonts w:hint="eastAsia"/>
          <w:sz w:val="28"/>
          <w:szCs w:val="28"/>
        </w:rPr>
        <w:t>1000</w:t>
      </w:r>
      <w:r w:rsidRPr="00332FD2">
        <w:rPr>
          <w:rFonts w:hint="eastAsia"/>
          <w:sz w:val="28"/>
          <w:szCs w:val="28"/>
        </w:rPr>
        <w:t>亿美元的征税产品清单，中方将毫不犹豫立即进行大力度的反击。</w:t>
      </w:r>
    </w:p>
    <w:p w:rsidR="009D28FF" w:rsidRPr="00332FD2" w:rsidRDefault="009D28FF" w:rsidP="009D28FF">
      <w:pPr>
        <w:ind w:firstLine="540"/>
        <w:rPr>
          <w:sz w:val="28"/>
          <w:szCs w:val="28"/>
        </w:rPr>
      </w:pPr>
      <w:r w:rsidRPr="00332FD2">
        <w:rPr>
          <w:rFonts w:hint="eastAsia"/>
          <w:sz w:val="28"/>
          <w:szCs w:val="28"/>
        </w:rPr>
        <w:t>4</w:t>
      </w:r>
      <w:r w:rsidRPr="00332FD2">
        <w:rPr>
          <w:rFonts w:hint="eastAsia"/>
          <w:sz w:val="28"/>
          <w:szCs w:val="28"/>
        </w:rPr>
        <w:t>月</w:t>
      </w:r>
      <w:r w:rsidRPr="00332FD2">
        <w:rPr>
          <w:rFonts w:hint="eastAsia"/>
          <w:sz w:val="28"/>
          <w:szCs w:val="28"/>
        </w:rPr>
        <w:t>16</w:t>
      </w:r>
      <w:r w:rsidRPr="00332FD2">
        <w:rPr>
          <w:rFonts w:hint="eastAsia"/>
          <w:sz w:val="28"/>
          <w:szCs w:val="28"/>
        </w:rPr>
        <w:t>日，美国商务部禁止美国企业向中国中兴通信股份有限公司出售零部件，期限为</w:t>
      </w:r>
      <w:r w:rsidRPr="00332FD2">
        <w:rPr>
          <w:rFonts w:hint="eastAsia"/>
          <w:sz w:val="28"/>
          <w:szCs w:val="28"/>
        </w:rPr>
        <w:t>7</w:t>
      </w:r>
      <w:r w:rsidRPr="00332FD2">
        <w:rPr>
          <w:rFonts w:hint="eastAsia"/>
          <w:sz w:val="28"/>
          <w:szCs w:val="28"/>
        </w:rPr>
        <w:t>年。此前该公司被指在关于它向伊朗销售设备的调查中作虚假陈述。与此同时，英国国家网络安全中心警告英国电信供应商，使用中兴的设备和服务将给国家安全带来威胁。</w:t>
      </w:r>
    </w:p>
    <w:p w:rsidR="009D28FF" w:rsidRPr="00332FD2" w:rsidRDefault="009D28FF" w:rsidP="009D28FF">
      <w:pPr>
        <w:ind w:firstLine="540"/>
        <w:rPr>
          <w:sz w:val="28"/>
          <w:szCs w:val="28"/>
        </w:rPr>
      </w:pPr>
      <w:r w:rsidRPr="00332FD2">
        <w:rPr>
          <w:rFonts w:hint="eastAsia"/>
          <w:sz w:val="28"/>
          <w:szCs w:val="28"/>
        </w:rPr>
        <w:t>4</w:t>
      </w:r>
      <w:r w:rsidRPr="00332FD2">
        <w:rPr>
          <w:rFonts w:hint="eastAsia"/>
          <w:sz w:val="28"/>
          <w:szCs w:val="28"/>
        </w:rPr>
        <w:t>月</w:t>
      </w:r>
      <w:r w:rsidRPr="00332FD2">
        <w:rPr>
          <w:rFonts w:hint="eastAsia"/>
          <w:sz w:val="28"/>
          <w:szCs w:val="28"/>
        </w:rPr>
        <w:t>17</w:t>
      </w:r>
      <w:r w:rsidRPr="00332FD2">
        <w:rPr>
          <w:rFonts w:hint="eastAsia"/>
          <w:sz w:val="28"/>
          <w:szCs w:val="28"/>
        </w:rPr>
        <w:t>日，美国联邦通信委员会以</w:t>
      </w:r>
      <w:r w:rsidRPr="00332FD2">
        <w:rPr>
          <w:rFonts w:hint="eastAsia"/>
          <w:sz w:val="28"/>
          <w:szCs w:val="28"/>
        </w:rPr>
        <w:t>5</w:t>
      </w:r>
      <w:r w:rsidRPr="00332FD2">
        <w:rPr>
          <w:rFonts w:hint="eastAsia"/>
          <w:sz w:val="28"/>
          <w:szCs w:val="28"/>
        </w:rPr>
        <w:t>：</w:t>
      </w:r>
      <w:r w:rsidRPr="00332FD2">
        <w:rPr>
          <w:rFonts w:hint="eastAsia"/>
          <w:sz w:val="28"/>
          <w:szCs w:val="28"/>
        </w:rPr>
        <w:t xml:space="preserve">0 </w:t>
      </w:r>
      <w:r w:rsidRPr="00332FD2">
        <w:rPr>
          <w:rFonts w:hint="eastAsia"/>
          <w:sz w:val="28"/>
          <w:szCs w:val="28"/>
        </w:rPr>
        <w:t>投票支持一项措施，该措施将阻止美国运营商使用联邦基金从某些公司购买网络设备。这项禁令还没有最终出台，它主要针对华为和中兴这两家电信公司。此后</w:t>
      </w:r>
      <w:r w:rsidRPr="00332FD2">
        <w:rPr>
          <w:rFonts w:hint="eastAsia"/>
          <w:sz w:val="28"/>
          <w:szCs w:val="28"/>
        </w:rPr>
        <w:lastRenderedPageBreak/>
        <w:t>又有消息称，美国可能禁止阿里巴巴集团在美国提供云计算服务，或者阻止该公司在美国市场的扩展，直到中国取消对美国企业的限制。中国商务部召开新闻发布会，明确表示，中方将密切关注事态的发展，随时准备采取必要的措施，维护中国企业的合法权益，并透露商务部正在根据《反垄断法》的规定，依法对高通公司收购恩智浦半导体公司股权案进行审查。</w:t>
      </w:r>
      <w:r w:rsidRPr="00332FD2">
        <w:rPr>
          <w:rFonts w:hint="eastAsia"/>
          <w:sz w:val="28"/>
          <w:szCs w:val="28"/>
        </w:rPr>
        <w:t>4</w:t>
      </w:r>
      <w:r w:rsidRPr="00332FD2">
        <w:rPr>
          <w:rFonts w:hint="eastAsia"/>
          <w:sz w:val="28"/>
          <w:szCs w:val="28"/>
        </w:rPr>
        <w:t>月</w:t>
      </w:r>
      <w:r w:rsidRPr="00332FD2">
        <w:rPr>
          <w:rFonts w:hint="eastAsia"/>
          <w:sz w:val="28"/>
          <w:szCs w:val="28"/>
        </w:rPr>
        <w:t>19</w:t>
      </w:r>
      <w:r w:rsidRPr="00332FD2">
        <w:rPr>
          <w:rFonts w:hint="eastAsia"/>
          <w:sz w:val="28"/>
          <w:szCs w:val="28"/>
        </w:rPr>
        <w:t>日，商务部公布对原产于美国、欧盟和新加坡的进口卤化丁基橡胶反倾销调查初裁，认为存在倾销，国内同行业受到实质性损害，且二者存在因果关系，并决定实施保证金形式的临时反倾销措施。</w:t>
      </w:r>
    </w:p>
    <w:p w:rsidR="009D28FF" w:rsidRPr="00332FD2" w:rsidRDefault="009D28FF" w:rsidP="009D28FF">
      <w:pPr>
        <w:ind w:firstLine="540"/>
        <w:rPr>
          <w:sz w:val="28"/>
          <w:szCs w:val="28"/>
        </w:rPr>
      </w:pPr>
      <w:r w:rsidRPr="00332FD2">
        <w:rPr>
          <w:rFonts w:hint="eastAsia"/>
          <w:sz w:val="28"/>
          <w:szCs w:val="28"/>
        </w:rPr>
        <w:t>在此过程中，双方都有进行谈判的表示，但并未就贸易争端进行任何谈判。</w:t>
      </w:r>
    </w:p>
    <w:p w:rsidR="009D28FF" w:rsidRPr="00332FD2" w:rsidRDefault="009D28FF" w:rsidP="009D28FF">
      <w:pPr>
        <w:ind w:firstLine="540"/>
        <w:rPr>
          <w:sz w:val="28"/>
          <w:szCs w:val="28"/>
        </w:rPr>
      </w:pPr>
    </w:p>
    <w:p w:rsidR="009D28FF" w:rsidRPr="00332FD2" w:rsidRDefault="009D28FF" w:rsidP="009D28FF">
      <w:pPr>
        <w:ind w:firstLine="540"/>
        <w:rPr>
          <w:sz w:val="28"/>
          <w:szCs w:val="28"/>
        </w:rPr>
      </w:pPr>
      <w:r w:rsidRPr="00332FD2">
        <w:rPr>
          <w:rFonts w:hint="eastAsia"/>
          <w:sz w:val="28"/>
          <w:szCs w:val="28"/>
        </w:rPr>
        <w:t>3-2</w:t>
      </w:r>
      <w:r w:rsidRPr="00332FD2">
        <w:rPr>
          <w:rFonts w:hint="eastAsia"/>
          <w:sz w:val="28"/>
          <w:szCs w:val="28"/>
        </w:rPr>
        <w:t>，贸易摩擦的实质和背后</w:t>
      </w:r>
    </w:p>
    <w:p w:rsidR="009D28FF" w:rsidRPr="00332FD2" w:rsidRDefault="009D28FF" w:rsidP="009D28FF">
      <w:pPr>
        <w:ind w:firstLine="540"/>
        <w:rPr>
          <w:sz w:val="28"/>
          <w:szCs w:val="28"/>
        </w:rPr>
      </w:pPr>
    </w:p>
    <w:p w:rsidR="009D28FF" w:rsidRPr="00332FD2" w:rsidRDefault="009D28FF" w:rsidP="009D28FF">
      <w:pPr>
        <w:ind w:firstLine="540"/>
        <w:rPr>
          <w:sz w:val="28"/>
          <w:szCs w:val="28"/>
        </w:rPr>
      </w:pPr>
      <w:r w:rsidRPr="00332FD2">
        <w:rPr>
          <w:rFonts w:hint="eastAsia"/>
          <w:sz w:val="28"/>
          <w:szCs w:val="28"/>
        </w:rPr>
        <w:t>中美贸易摩擦并非自今日始，过去曾多次发生过。通过私下沟通，进行谈判，中国做出一些让步，增加从美国的进口，暂时得以平息。这次传统办法失灵。去年</w:t>
      </w:r>
      <w:r w:rsidR="00A775E0">
        <w:rPr>
          <w:rFonts w:hint="eastAsia"/>
          <w:sz w:val="28"/>
          <w:szCs w:val="28"/>
        </w:rPr>
        <w:t>1</w:t>
      </w:r>
      <w:r w:rsidRPr="00332FD2">
        <w:rPr>
          <w:rFonts w:hint="eastAsia"/>
          <w:sz w:val="28"/>
          <w:szCs w:val="28"/>
        </w:rPr>
        <w:t>1</w:t>
      </w:r>
      <w:r w:rsidRPr="00332FD2">
        <w:rPr>
          <w:rFonts w:hint="eastAsia"/>
          <w:sz w:val="28"/>
          <w:szCs w:val="28"/>
        </w:rPr>
        <w:t>月特朗普访华，中方与美方签署了高达</w:t>
      </w:r>
      <w:r w:rsidRPr="00332FD2">
        <w:rPr>
          <w:rFonts w:hint="eastAsia"/>
          <w:sz w:val="28"/>
          <w:szCs w:val="28"/>
        </w:rPr>
        <w:t>2535</w:t>
      </w:r>
      <w:r w:rsidRPr="00332FD2">
        <w:rPr>
          <w:rFonts w:hint="eastAsia"/>
          <w:sz w:val="28"/>
          <w:szCs w:val="28"/>
        </w:rPr>
        <w:t>亿美元的经贸大单，释放善意，今年</w:t>
      </w:r>
      <w:r w:rsidRPr="00332FD2">
        <w:rPr>
          <w:rFonts w:hint="eastAsia"/>
          <w:sz w:val="28"/>
          <w:szCs w:val="28"/>
        </w:rPr>
        <w:t>2</w:t>
      </w:r>
      <w:r w:rsidRPr="00332FD2">
        <w:rPr>
          <w:rFonts w:hint="eastAsia"/>
          <w:sz w:val="28"/>
          <w:szCs w:val="28"/>
        </w:rPr>
        <w:t>月</w:t>
      </w:r>
      <w:r w:rsidRPr="00332FD2">
        <w:rPr>
          <w:rFonts w:hint="eastAsia"/>
          <w:sz w:val="28"/>
          <w:szCs w:val="28"/>
        </w:rPr>
        <w:t>27</w:t>
      </w:r>
      <w:r w:rsidRPr="00332FD2">
        <w:rPr>
          <w:rFonts w:hint="eastAsia"/>
          <w:sz w:val="28"/>
          <w:szCs w:val="28"/>
        </w:rPr>
        <w:t>日，商务部宣布，“自即日起停止对美国进口白羽肉鸡征收反倾销和反补贴税”。但落花有意，流水无情。美国仍然对中国祭起了贸易摩擦的大棒。对此，国际国内目前都存在着很大的误判，主要是围绕着贸易争端说事。</w:t>
      </w:r>
    </w:p>
    <w:p w:rsidR="009D28FF" w:rsidRPr="00332FD2" w:rsidRDefault="009D28FF" w:rsidP="009D28FF">
      <w:pPr>
        <w:ind w:firstLine="540"/>
        <w:rPr>
          <w:sz w:val="28"/>
          <w:szCs w:val="28"/>
        </w:rPr>
      </w:pPr>
      <w:r w:rsidRPr="00332FD2">
        <w:rPr>
          <w:rFonts w:hint="eastAsia"/>
          <w:sz w:val="28"/>
          <w:szCs w:val="28"/>
        </w:rPr>
        <w:t>一是认为中美贸易严重不平衡，中国对美出口多而进口少，贸易</w:t>
      </w:r>
      <w:r w:rsidRPr="00332FD2">
        <w:rPr>
          <w:rFonts w:hint="eastAsia"/>
          <w:sz w:val="28"/>
          <w:szCs w:val="28"/>
        </w:rPr>
        <w:lastRenderedPageBreak/>
        <w:t>顺差过大，美国统计的贸易逆差有</w:t>
      </w:r>
      <w:r w:rsidRPr="00332FD2">
        <w:rPr>
          <w:rFonts w:hint="eastAsia"/>
          <w:sz w:val="28"/>
          <w:szCs w:val="28"/>
        </w:rPr>
        <w:t>3750</w:t>
      </w:r>
      <w:r w:rsidRPr="00332FD2">
        <w:rPr>
          <w:rFonts w:hint="eastAsia"/>
          <w:sz w:val="28"/>
          <w:szCs w:val="28"/>
        </w:rPr>
        <w:t>亿美元。特朗普也提出，中国先把中美贸易逆差减少</w:t>
      </w:r>
      <w:r w:rsidRPr="00332FD2">
        <w:rPr>
          <w:rFonts w:hint="eastAsia"/>
          <w:sz w:val="28"/>
          <w:szCs w:val="28"/>
        </w:rPr>
        <w:t>1000</w:t>
      </w:r>
      <w:r w:rsidRPr="00332FD2">
        <w:rPr>
          <w:rFonts w:hint="eastAsia"/>
          <w:sz w:val="28"/>
          <w:szCs w:val="28"/>
        </w:rPr>
        <w:t>亿美元。此议自有一定道理，进而认为，中美贸易差额过大，责任不全在中国，现行国际产业分工格局决定了，这些产品虽然最后在中国总装完成而输往美国，但零部件很大一部分在国外生产，中国所得甚少，而美国的跨国公司赚得满盆满钵。现行国际贸易统计计算也不合理，如果按照加工增值计算，中美贸易差额可以减去大半，因而主张改变现行计算办法。</w:t>
      </w:r>
    </w:p>
    <w:p w:rsidR="009D28FF" w:rsidRPr="00332FD2" w:rsidRDefault="009D28FF" w:rsidP="009D28FF">
      <w:pPr>
        <w:ind w:firstLine="540"/>
        <w:rPr>
          <w:sz w:val="28"/>
          <w:szCs w:val="28"/>
        </w:rPr>
      </w:pPr>
      <w:r w:rsidRPr="00332FD2">
        <w:rPr>
          <w:rFonts w:hint="eastAsia"/>
          <w:sz w:val="28"/>
          <w:szCs w:val="28"/>
        </w:rPr>
        <w:t>二是认为贸易战两败俱伤，杀敌一千，自损八百，谁也得不着好处。这个道理也不错，</w:t>
      </w:r>
      <w:r w:rsidRPr="00332FD2">
        <w:rPr>
          <w:rFonts w:hint="eastAsia"/>
          <w:sz w:val="28"/>
          <w:szCs w:val="28"/>
        </w:rPr>
        <w:t>WTO</w:t>
      </w:r>
      <w:r w:rsidRPr="00332FD2">
        <w:rPr>
          <w:rFonts w:hint="eastAsia"/>
          <w:sz w:val="28"/>
          <w:szCs w:val="28"/>
        </w:rPr>
        <w:t>的出现及其最大的功绩就是关税减让，理论和实践都已经证明，关税的相互施加，只能抬高价格，造成通胀，减少收入和生产，广大消费者受损。而对于生产者来说，则是苦乐不均，有人高兴有人愁。其实，美国国内受损者的反对声音不小，特朗普及其班底不是不懂这个道理。当然，实力的比较和对策的选择，损失大小会出现差异。</w:t>
      </w:r>
    </w:p>
    <w:p w:rsidR="009D28FF" w:rsidRPr="00332FD2" w:rsidRDefault="009D28FF" w:rsidP="009D28FF">
      <w:pPr>
        <w:ind w:firstLine="540"/>
        <w:rPr>
          <w:sz w:val="28"/>
          <w:szCs w:val="28"/>
        </w:rPr>
      </w:pPr>
      <w:r w:rsidRPr="00332FD2">
        <w:rPr>
          <w:rFonts w:hint="eastAsia"/>
          <w:sz w:val="28"/>
          <w:szCs w:val="28"/>
        </w:rPr>
        <w:t>三是认为此次中美贸易争端会对现行国际贸易秩序形成巨大冲击，是全球化的大倒退。事实确实如此，但特朗普认为，现行秩序不公平，不合理，他就是要改变这种情况。</w:t>
      </w:r>
    </w:p>
    <w:p w:rsidR="009D28FF" w:rsidRPr="00332FD2" w:rsidRDefault="009D28FF" w:rsidP="009D28FF">
      <w:pPr>
        <w:ind w:firstLine="540"/>
        <w:rPr>
          <w:sz w:val="28"/>
          <w:szCs w:val="28"/>
        </w:rPr>
      </w:pPr>
      <w:r w:rsidRPr="00332FD2">
        <w:rPr>
          <w:rFonts w:hint="eastAsia"/>
          <w:sz w:val="28"/>
          <w:szCs w:val="28"/>
        </w:rPr>
        <w:t>四是我们的应对措施也在贸易上，什么大豆、高粱、牛肉之类，而</w:t>
      </w:r>
      <w:r w:rsidR="00A775E0">
        <w:rPr>
          <w:rFonts w:hint="eastAsia"/>
          <w:sz w:val="28"/>
          <w:szCs w:val="28"/>
        </w:rPr>
        <w:t>最需要的是</w:t>
      </w:r>
      <w:r w:rsidRPr="00332FD2">
        <w:rPr>
          <w:rFonts w:hint="eastAsia"/>
          <w:sz w:val="28"/>
          <w:szCs w:val="28"/>
        </w:rPr>
        <w:t>深入剖析其背后的玄机</w:t>
      </w:r>
      <w:r w:rsidR="00A775E0">
        <w:rPr>
          <w:rFonts w:hint="eastAsia"/>
          <w:sz w:val="28"/>
          <w:szCs w:val="28"/>
        </w:rPr>
        <w:t>，以便正确应对</w:t>
      </w:r>
      <w:r w:rsidRPr="00332FD2">
        <w:rPr>
          <w:rFonts w:hint="eastAsia"/>
          <w:sz w:val="28"/>
          <w:szCs w:val="28"/>
        </w:rPr>
        <w:t>。</w:t>
      </w:r>
    </w:p>
    <w:p w:rsidR="009D28FF" w:rsidRPr="00332FD2" w:rsidRDefault="009D28FF" w:rsidP="009D28FF">
      <w:pPr>
        <w:ind w:firstLine="540"/>
        <w:rPr>
          <w:sz w:val="28"/>
          <w:szCs w:val="28"/>
        </w:rPr>
      </w:pPr>
      <w:r w:rsidRPr="00332FD2">
        <w:rPr>
          <w:rFonts w:hint="eastAsia"/>
          <w:sz w:val="28"/>
          <w:szCs w:val="28"/>
        </w:rPr>
        <w:t>其次，也有人用美国国内政治选情说事，认为此举是特朗普要为中期选举拉票。这一因素确实存在，但并非根本。现在特朗普胜券在据，连民主党不少人也转而支持他。</w:t>
      </w:r>
    </w:p>
    <w:p w:rsidR="009D28FF" w:rsidRPr="00332FD2" w:rsidRDefault="009D28FF" w:rsidP="009D28FF">
      <w:pPr>
        <w:ind w:firstLine="540"/>
        <w:rPr>
          <w:sz w:val="28"/>
          <w:szCs w:val="28"/>
        </w:rPr>
      </w:pPr>
      <w:r w:rsidRPr="00332FD2">
        <w:rPr>
          <w:rFonts w:hint="eastAsia"/>
          <w:sz w:val="28"/>
          <w:szCs w:val="28"/>
        </w:rPr>
        <w:lastRenderedPageBreak/>
        <w:t>虽然特朗普也是拿贸易说事，但根本问题不在贸易，而在中国的崛起和走向、世界格局的变化以及美国社会结构的断裂及其前进道路的修正和调整。</w:t>
      </w:r>
      <w:r w:rsidR="00A775E0">
        <w:rPr>
          <w:rFonts w:hint="eastAsia"/>
          <w:sz w:val="28"/>
          <w:szCs w:val="28"/>
        </w:rPr>
        <w:t>其实</w:t>
      </w:r>
      <w:r w:rsidRPr="00332FD2">
        <w:rPr>
          <w:rFonts w:hint="eastAsia"/>
          <w:sz w:val="28"/>
          <w:szCs w:val="28"/>
        </w:rPr>
        <w:t>，特朗普当选、其政府班底清一色的鹰派及其政策在国内外受到的支持，有其必然性。认为特朗普是个商人，不懂政治，不了解中国，说话办事不靠谱，只能是舆论误导和误导舆论。</w:t>
      </w:r>
      <w:r w:rsidR="00A775E0">
        <w:rPr>
          <w:rFonts w:hint="eastAsia"/>
          <w:sz w:val="28"/>
          <w:szCs w:val="28"/>
        </w:rPr>
        <w:t>最近网上流传特朗普阅读有关中国问题的著作目录，</w:t>
      </w:r>
      <w:r w:rsidR="00943F2F">
        <w:rPr>
          <w:rFonts w:hint="eastAsia"/>
          <w:sz w:val="28"/>
          <w:szCs w:val="28"/>
        </w:rPr>
        <w:t>是对此论的否定和驳斥。我们不能一厢情愿，凭自己的想象和好恶办事。</w:t>
      </w:r>
    </w:p>
    <w:p w:rsidR="009D28FF" w:rsidRPr="00332FD2" w:rsidRDefault="009D28FF" w:rsidP="009D28FF">
      <w:pPr>
        <w:ind w:firstLine="540"/>
        <w:rPr>
          <w:sz w:val="28"/>
          <w:szCs w:val="28"/>
        </w:rPr>
      </w:pPr>
      <w:r w:rsidRPr="00332FD2">
        <w:rPr>
          <w:rFonts w:hint="eastAsia"/>
          <w:sz w:val="28"/>
          <w:szCs w:val="28"/>
        </w:rPr>
        <w:t>近半个多世纪以来，全球化的推进，资本的全球流动、产业的国际转移，一方面受益的是美欧的大跨国公司，特别是美国高技术产业的跨国公司，另一方面是美国国内产业结构变化引起的社会结构的断裂，现在美国国内的产业一是高技术产业的龙头企业，二是高效农业，中间的部分，即生产加工全部转移到国外，形成了国内资本与劳动的分离和脱节。有人形象地比喻为家庭因一方出走而破裂。而在国外，受益最大的是中国。中国虽然赶了个末班车，但中国的巨国效应绝非早期亚洲四小龙可比。一方面经过</w:t>
      </w:r>
      <w:r w:rsidRPr="00332FD2">
        <w:rPr>
          <w:rFonts w:hint="eastAsia"/>
          <w:sz w:val="28"/>
          <w:szCs w:val="28"/>
        </w:rPr>
        <w:t>40</w:t>
      </w:r>
      <w:r w:rsidRPr="00332FD2">
        <w:rPr>
          <w:rFonts w:hint="eastAsia"/>
          <w:sz w:val="28"/>
          <w:szCs w:val="28"/>
        </w:rPr>
        <w:t>年的</w:t>
      </w:r>
      <w:r w:rsidR="00943F2F">
        <w:rPr>
          <w:rFonts w:hint="eastAsia"/>
          <w:sz w:val="28"/>
          <w:szCs w:val="28"/>
        </w:rPr>
        <w:t>改革开放和国人的</w:t>
      </w:r>
      <w:r w:rsidRPr="00332FD2">
        <w:rPr>
          <w:rFonts w:hint="eastAsia"/>
          <w:sz w:val="28"/>
          <w:szCs w:val="28"/>
        </w:rPr>
        <w:t>拚搏积累，中国开始向高端爬坡，中国“制造业</w:t>
      </w:r>
      <w:r w:rsidRPr="00332FD2">
        <w:rPr>
          <w:rFonts w:hint="eastAsia"/>
          <w:sz w:val="28"/>
          <w:szCs w:val="28"/>
        </w:rPr>
        <w:t>2025</w:t>
      </w:r>
      <w:r w:rsidRPr="00332FD2">
        <w:rPr>
          <w:rFonts w:hint="eastAsia"/>
          <w:sz w:val="28"/>
          <w:szCs w:val="28"/>
        </w:rPr>
        <w:t>”就是证明，另一方面，中国巨大的国内市场也支撑了中国互联网等新兴产业的发展和弯道超车，外国同行垂涎三尺，但由于中国的政策限制无法参与。因此，现在美国科技界和高新产业界也转而支持特朗普的政策。不仅如此，中国虽然提出了“一带一路”战略和“人类命运共同体”的目标，但中国的巨大规模和影响及其政策也被一些国家看作是自己工业化的障碍。美国等西方国家支持中国的改革开放，</w:t>
      </w:r>
      <w:r w:rsidR="00E74B86">
        <w:rPr>
          <w:rFonts w:hint="eastAsia"/>
          <w:sz w:val="28"/>
          <w:szCs w:val="28"/>
        </w:rPr>
        <w:t>原先</w:t>
      </w:r>
      <w:r w:rsidRPr="00332FD2">
        <w:rPr>
          <w:rFonts w:hint="eastAsia"/>
          <w:sz w:val="28"/>
          <w:szCs w:val="28"/>
        </w:rPr>
        <w:t>以为中国会走向自</w:t>
      </w:r>
      <w:r w:rsidRPr="00332FD2">
        <w:rPr>
          <w:rFonts w:hint="eastAsia"/>
          <w:sz w:val="28"/>
          <w:szCs w:val="28"/>
        </w:rPr>
        <w:lastRenderedPageBreak/>
        <w:t>由市场经济，</w:t>
      </w:r>
      <w:r w:rsidR="00E74B86">
        <w:rPr>
          <w:rFonts w:hint="eastAsia"/>
          <w:sz w:val="28"/>
          <w:szCs w:val="28"/>
        </w:rPr>
        <w:t>现在担心</w:t>
      </w:r>
      <w:r w:rsidRPr="00332FD2">
        <w:rPr>
          <w:rFonts w:hint="eastAsia"/>
          <w:sz w:val="28"/>
          <w:szCs w:val="28"/>
        </w:rPr>
        <w:t>中国走向政府主导、国企立基的国家</w:t>
      </w:r>
      <w:r w:rsidR="00943F2F">
        <w:rPr>
          <w:rFonts w:hint="eastAsia"/>
          <w:sz w:val="28"/>
          <w:szCs w:val="28"/>
        </w:rPr>
        <w:t>社会</w:t>
      </w:r>
      <w:r w:rsidRPr="00332FD2">
        <w:rPr>
          <w:rFonts w:hint="eastAsia"/>
          <w:sz w:val="28"/>
          <w:szCs w:val="28"/>
        </w:rPr>
        <w:t>主义，中国在国际问题上的立场和行为也</w:t>
      </w:r>
      <w:r w:rsidR="00E74B86">
        <w:rPr>
          <w:rFonts w:hint="eastAsia"/>
          <w:sz w:val="28"/>
          <w:szCs w:val="28"/>
        </w:rPr>
        <w:t>与他们相对立</w:t>
      </w:r>
      <w:r w:rsidRPr="00332FD2">
        <w:rPr>
          <w:rFonts w:hint="eastAsia"/>
          <w:sz w:val="28"/>
          <w:szCs w:val="28"/>
        </w:rPr>
        <w:t>。因此，美国以外的</w:t>
      </w:r>
      <w:r w:rsidR="006E1C5C">
        <w:rPr>
          <w:rFonts w:hint="eastAsia"/>
          <w:sz w:val="28"/>
          <w:szCs w:val="28"/>
        </w:rPr>
        <w:t>有些</w:t>
      </w:r>
      <w:r w:rsidRPr="00332FD2">
        <w:rPr>
          <w:rFonts w:hint="eastAsia"/>
          <w:sz w:val="28"/>
          <w:szCs w:val="28"/>
        </w:rPr>
        <w:t>西方国家也对中国另眼相看，开始转身支持特朗普。如果说，在特朗普当选以前，美国的国际战略目标是打击国际恐怖势力，那么，特朗普上台以后，美国的国际战略转变成大国博弈，而目标主要是中国。其实，今年</w:t>
      </w:r>
      <w:r w:rsidRPr="00332FD2">
        <w:rPr>
          <w:rFonts w:hint="eastAsia"/>
          <w:sz w:val="28"/>
          <w:szCs w:val="28"/>
        </w:rPr>
        <w:t>1</w:t>
      </w:r>
      <w:r w:rsidRPr="00332FD2">
        <w:rPr>
          <w:rFonts w:hint="eastAsia"/>
          <w:sz w:val="28"/>
          <w:szCs w:val="28"/>
        </w:rPr>
        <w:t>月，特朗普在国情咨文中明确表示，中国是挑战美国利益、经济和价值观的威胁之一，就是美国修正道路的标志。美国最近对中兴和华为下手，也说明这绝非简单的贸易争端问题，而是高新技术及其产业的竞争和发展问题，是关系中国未来前途的问题。</w:t>
      </w:r>
    </w:p>
    <w:p w:rsidR="009D28FF" w:rsidRPr="00332FD2" w:rsidRDefault="009D28FF" w:rsidP="009D28FF">
      <w:pPr>
        <w:ind w:firstLine="540"/>
        <w:rPr>
          <w:sz w:val="28"/>
          <w:szCs w:val="28"/>
        </w:rPr>
      </w:pPr>
    </w:p>
    <w:p w:rsidR="009D28FF" w:rsidRPr="00332FD2" w:rsidRDefault="009D28FF" w:rsidP="009D28FF">
      <w:pPr>
        <w:ind w:firstLine="540"/>
        <w:rPr>
          <w:sz w:val="28"/>
          <w:szCs w:val="28"/>
        </w:rPr>
      </w:pPr>
      <w:r w:rsidRPr="00332FD2">
        <w:rPr>
          <w:rFonts w:hint="eastAsia"/>
          <w:sz w:val="28"/>
          <w:szCs w:val="28"/>
        </w:rPr>
        <w:t>3-3</w:t>
      </w:r>
      <w:r w:rsidRPr="00332FD2">
        <w:rPr>
          <w:rFonts w:hint="eastAsia"/>
          <w:sz w:val="28"/>
          <w:szCs w:val="28"/>
        </w:rPr>
        <w:t>，正确应对，把坏事变成好事。</w:t>
      </w:r>
    </w:p>
    <w:p w:rsidR="009D28FF" w:rsidRPr="00332FD2" w:rsidRDefault="009D28FF" w:rsidP="009D28FF">
      <w:pPr>
        <w:ind w:firstLine="540"/>
        <w:rPr>
          <w:sz w:val="28"/>
          <w:szCs w:val="28"/>
        </w:rPr>
      </w:pPr>
    </w:p>
    <w:p w:rsidR="009D28FF" w:rsidRPr="00332FD2" w:rsidRDefault="009D28FF" w:rsidP="009D28FF">
      <w:pPr>
        <w:ind w:firstLine="540"/>
        <w:rPr>
          <w:sz w:val="28"/>
          <w:szCs w:val="28"/>
        </w:rPr>
      </w:pPr>
      <w:r w:rsidRPr="00332FD2">
        <w:rPr>
          <w:rFonts w:hint="eastAsia"/>
          <w:sz w:val="28"/>
          <w:szCs w:val="28"/>
        </w:rPr>
        <w:t>对于中国来说，美国以贸易为由挑起的争端的确是一件坏事，中美实力还有很大差距，弄得不好，有可能使中国</w:t>
      </w:r>
      <w:r w:rsidRPr="00332FD2">
        <w:rPr>
          <w:rFonts w:hint="eastAsia"/>
          <w:sz w:val="28"/>
          <w:szCs w:val="28"/>
        </w:rPr>
        <w:t>40</w:t>
      </w:r>
      <w:r w:rsidRPr="00332FD2">
        <w:rPr>
          <w:rFonts w:hint="eastAsia"/>
          <w:sz w:val="28"/>
          <w:szCs w:val="28"/>
        </w:rPr>
        <w:t>年的发展付诸东流，甚至陷入停滞和混乱，因为危机不在外而在内，而动力和压力又不在内而在外。这次特朗普挑起贸易争端，也为我们提供了一个条件和机会，只要应对得当，就可以把坏事变成好事，为中国的发展开拓出一片新</w:t>
      </w:r>
      <w:r w:rsidR="00943F2F">
        <w:rPr>
          <w:rFonts w:hint="eastAsia"/>
          <w:sz w:val="28"/>
          <w:szCs w:val="28"/>
        </w:rPr>
        <w:t>的</w:t>
      </w:r>
      <w:r w:rsidRPr="00332FD2">
        <w:rPr>
          <w:rFonts w:hint="eastAsia"/>
          <w:sz w:val="28"/>
          <w:szCs w:val="28"/>
        </w:rPr>
        <w:t>空间，走上一个新</w:t>
      </w:r>
      <w:r w:rsidR="00943F2F">
        <w:rPr>
          <w:rFonts w:hint="eastAsia"/>
          <w:sz w:val="28"/>
          <w:szCs w:val="28"/>
        </w:rPr>
        <w:t>的</w:t>
      </w:r>
      <w:r w:rsidRPr="00332FD2">
        <w:rPr>
          <w:rFonts w:hint="eastAsia"/>
          <w:sz w:val="28"/>
          <w:szCs w:val="28"/>
        </w:rPr>
        <w:t>台阶。</w:t>
      </w:r>
    </w:p>
    <w:p w:rsidR="009D28FF" w:rsidRPr="00332FD2" w:rsidRDefault="009D28FF" w:rsidP="009D28FF">
      <w:pPr>
        <w:ind w:firstLine="540"/>
        <w:rPr>
          <w:sz w:val="28"/>
          <w:szCs w:val="28"/>
        </w:rPr>
      </w:pPr>
      <w:r w:rsidRPr="00332FD2">
        <w:rPr>
          <w:rFonts w:hint="eastAsia"/>
          <w:sz w:val="28"/>
          <w:szCs w:val="28"/>
        </w:rPr>
        <w:t>首先，我们需要重新认识自己，更新观念。</w:t>
      </w:r>
      <w:r w:rsidRPr="00332FD2">
        <w:rPr>
          <w:rFonts w:hint="eastAsia"/>
          <w:sz w:val="28"/>
          <w:szCs w:val="28"/>
        </w:rPr>
        <w:t>40</w:t>
      </w:r>
      <w:r w:rsidRPr="00332FD2">
        <w:rPr>
          <w:rFonts w:hint="eastAsia"/>
          <w:sz w:val="28"/>
          <w:szCs w:val="28"/>
        </w:rPr>
        <w:t>年来，中国的确发生了翻天覆地的变化，这只是与我们自己来比，如果与发达国家比，我们还差得很远。但是，我们头脑发热，忘乎所以。不少人认为中国已经强大得不得了了，有人甚至认为中国在多个主要方面的指标都超</w:t>
      </w:r>
      <w:r w:rsidRPr="00332FD2">
        <w:rPr>
          <w:rFonts w:hint="eastAsia"/>
          <w:sz w:val="28"/>
          <w:szCs w:val="28"/>
        </w:rPr>
        <w:lastRenderedPageBreak/>
        <w:t>过了美国，成为世界第一，这样的人还得到单位的褒奖</w:t>
      </w:r>
      <w:r w:rsidR="00E74B86">
        <w:rPr>
          <w:rFonts w:hint="eastAsia"/>
          <w:sz w:val="28"/>
          <w:szCs w:val="28"/>
        </w:rPr>
        <w:t>和官方的重视，影视作品《厉害了我的国》等也大力制造这种舆论。</w:t>
      </w:r>
      <w:r w:rsidRPr="00332FD2">
        <w:rPr>
          <w:rFonts w:hint="eastAsia"/>
          <w:sz w:val="28"/>
          <w:szCs w:val="28"/>
        </w:rPr>
        <w:t>我们动不动要为世界提供中国方案，宣扬中国模式是最好最有效的模式，我们的自信已经变成盲目自大，目中无人，似乎世界都在自己的掌控之中。美国挥舞贸易大棒，使得国人清醒了一些。原来，我们没有那么强大，没有那么先进，国人的浮躁、浮夸、只要面子，不顾里子，报喜不报忧，说得多和好，做得少和差，已经成为一种固疾。我们的思想观念还有很多落后于时代的东西，我们的制度和政策中还有很多与我们的目标相冲突，阻碍着我们前进。只有真正认识了自己是谁，姓啥为老几，才有可能更新观念，看到不足，走上坦途。</w:t>
      </w:r>
    </w:p>
    <w:p w:rsidR="009D28FF" w:rsidRPr="00332FD2" w:rsidRDefault="009D28FF" w:rsidP="009D28FF">
      <w:pPr>
        <w:ind w:firstLine="540"/>
        <w:rPr>
          <w:sz w:val="28"/>
          <w:szCs w:val="28"/>
        </w:rPr>
      </w:pPr>
      <w:r w:rsidRPr="00332FD2">
        <w:rPr>
          <w:rFonts w:hint="eastAsia"/>
          <w:sz w:val="28"/>
          <w:szCs w:val="28"/>
        </w:rPr>
        <w:t>其次，修正道路，改掉弊端。美国在修正自己的道路，我们要不要做出修正和调整。我们现行的目标和手段、制度和政策决非十全十美，而是存在着一些根本性缺陷。比如，我们是一个官本位的社会，有官就有权，就有钱，而且不受约束，人们的眼睛都看着官员、官位和权力，整个社会弥漫在一种拜权主义的氛围和情绪之中，这种情况越来越严重，要不要修正和调整。再如，我们的社会缺乏产权观念和合约精神，不守信誉，不重承诺，假冒伪劣大行其道，</w:t>
      </w:r>
      <w:r w:rsidRPr="00332FD2">
        <w:rPr>
          <w:rFonts w:hint="eastAsia"/>
          <w:sz w:val="28"/>
          <w:szCs w:val="28"/>
        </w:rPr>
        <w:t>82</w:t>
      </w:r>
      <w:r w:rsidRPr="00332FD2">
        <w:rPr>
          <w:rFonts w:hint="eastAsia"/>
          <w:sz w:val="28"/>
          <w:szCs w:val="28"/>
        </w:rPr>
        <w:t>宪法作为国家根本大法，居然一纸命令剥夺了城市全部私人土地，将其变成国有财产，对此我们没有任何反思。</w:t>
      </w:r>
      <w:r w:rsidR="00252202">
        <w:rPr>
          <w:rFonts w:hint="eastAsia"/>
          <w:sz w:val="28"/>
          <w:szCs w:val="28"/>
        </w:rPr>
        <w:t>中兴这</w:t>
      </w:r>
      <w:r w:rsidRPr="00332FD2">
        <w:rPr>
          <w:rFonts w:hint="eastAsia"/>
          <w:sz w:val="28"/>
          <w:szCs w:val="28"/>
        </w:rPr>
        <w:t>次被拒，难道与其不守合约、做虚假陈述无关，这在中国也许算不上什么事，但在美国却是涉及法律尊严和道德底线的大事。这要不要修正。再如，我们缺乏平等观念，很多事情都分三六九等，区别对待。城乡不平等，农民工是二等公民，</w:t>
      </w:r>
      <w:r w:rsidRPr="00332FD2">
        <w:rPr>
          <w:rFonts w:hint="eastAsia"/>
          <w:sz w:val="28"/>
          <w:szCs w:val="28"/>
        </w:rPr>
        <w:lastRenderedPageBreak/>
        <w:t>只能流动，不能迁徙，农村土地与城市土地同地不同权、不同价，干部和职工享受不同的社保福利待遇，学校也要弄个</w:t>
      </w:r>
      <w:r w:rsidRPr="00332FD2">
        <w:rPr>
          <w:rFonts w:hint="eastAsia"/>
          <w:sz w:val="28"/>
          <w:szCs w:val="28"/>
        </w:rPr>
        <w:t>211</w:t>
      </w:r>
      <w:r w:rsidRPr="00332FD2">
        <w:rPr>
          <w:rFonts w:hint="eastAsia"/>
          <w:sz w:val="28"/>
          <w:szCs w:val="28"/>
        </w:rPr>
        <w:t>、</w:t>
      </w:r>
      <w:r w:rsidRPr="00332FD2">
        <w:rPr>
          <w:rFonts w:hint="eastAsia"/>
          <w:sz w:val="28"/>
          <w:szCs w:val="28"/>
        </w:rPr>
        <w:t>985</w:t>
      </w:r>
      <w:r w:rsidRPr="00332FD2">
        <w:rPr>
          <w:rFonts w:hint="eastAsia"/>
          <w:sz w:val="28"/>
          <w:szCs w:val="28"/>
        </w:rPr>
        <w:t>，这也需要修正和调整。还有，美国搞贸易摩擦，国际国内反对的声音不小，并到处传播，无人限制，</w:t>
      </w:r>
      <w:r w:rsidR="00252202">
        <w:rPr>
          <w:rFonts w:hint="eastAsia"/>
          <w:sz w:val="28"/>
          <w:szCs w:val="28"/>
        </w:rPr>
        <w:t>我们的媒体也起劲鼓燥，</w:t>
      </w:r>
      <w:r w:rsidRPr="00332FD2">
        <w:rPr>
          <w:rFonts w:hint="eastAsia"/>
          <w:sz w:val="28"/>
          <w:szCs w:val="28"/>
        </w:rPr>
        <w:t>而我们</w:t>
      </w:r>
      <w:r w:rsidR="00252202">
        <w:rPr>
          <w:rFonts w:hint="eastAsia"/>
          <w:sz w:val="28"/>
          <w:szCs w:val="28"/>
        </w:rPr>
        <w:t>国内</w:t>
      </w:r>
      <w:r w:rsidRPr="00332FD2">
        <w:rPr>
          <w:rFonts w:hint="eastAsia"/>
          <w:sz w:val="28"/>
          <w:szCs w:val="28"/>
        </w:rPr>
        <w:t>除了政府官员的表态和一些媒体的误导以外，其他意见一律不予报道，网络上的一些评论，确有一些真知灼见，如果不符合官方的口味，也会遭到屏蔽和封杀。这难道不需要修正和调整。封锁言论和消息，其实是在封锁自己，使自己听到的都是一面之辞。人常说，兼听则明，偏听则暗。难道这也不需要修正和调整。</w:t>
      </w:r>
    </w:p>
    <w:p w:rsidR="009D28FF" w:rsidRPr="00332FD2" w:rsidRDefault="009D28FF" w:rsidP="009D28FF">
      <w:pPr>
        <w:ind w:firstLine="540"/>
        <w:rPr>
          <w:sz w:val="28"/>
          <w:szCs w:val="28"/>
        </w:rPr>
      </w:pPr>
      <w:r w:rsidRPr="00332FD2">
        <w:rPr>
          <w:rFonts w:hint="eastAsia"/>
          <w:sz w:val="28"/>
          <w:szCs w:val="28"/>
        </w:rPr>
        <w:t>再次，以上所论，完全符合习主席在亚洲博鳌论坛的主旨演讲《开放共创繁荣，创新引领未来》的精神。习主席在分析了国内国际形势，展望了人类未来发展以后，庄严宣布，“我要明确告诉大家，中国开放的大门不会关闭，只会越开越大”。并提出了在扩大开放方面中国将采取的重大措施：第一，大幅度放宽市场准入；第二，创造更有吸引力的投资环境；第三，加强知识产权保护；第四，主动扩大进口。</w:t>
      </w:r>
      <w:r w:rsidR="00252202">
        <w:rPr>
          <w:rFonts w:hint="eastAsia"/>
          <w:sz w:val="28"/>
          <w:szCs w:val="28"/>
        </w:rPr>
        <w:t>这完全正确。</w:t>
      </w:r>
      <w:r w:rsidRPr="00332FD2">
        <w:rPr>
          <w:rFonts w:hint="eastAsia"/>
          <w:sz w:val="28"/>
          <w:szCs w:val="28"/>
        </w:rPr>
        <w:t>根据习主席讲话精神，央行行长易纲公布了我国金融领域扩大开放的六大措施：第一取消银行和金融资产管理公司的外资持股比例限制，内外资一视同仁；允许外国银行在我国境内设立分行和子行。第二，将证券公司、基金管理公司、期货公司、人身保险公司的外资持股比例上限放宽到</w:t>
      </w:r>
      <w:r w:rsidRPr="00332FD2">
        <w:rPr>
          <w:rFonts w:hint="eastAsia"/>
          <w:sz w:val="28"/>
          <w:szCs w:val="28"/>
        </w:rPr>
        <w:t>51%</w:t>
      </w:r>
      <w:r w:rsidRPr="00332FD2">
        <w:rPr>
          <w:rFonts w:hint="eastAsia"/>
          <w:sz w:val="28"/>
          <w:szCs w:val="28"/>
        </w:rPr>
        <w:t>，三年以后不再设限。第三，不再要求合资证券公司境内股东至少有一家是证券公司。第四，把沪港通每日额度扩大</w:t>
      </w:r>
      <w:r w:rsidRPr="00332FD2">
        <w:rPr>
          <w:rFonts w:hint="eastAsia"/>
          <w:sz w:val="28"/>
          <w:szCs w:val="28"/>
        </w:rPr>
        <w:t>4</w:t>
      </w:r>
      <w:r w:rsidRPr="00332FD2">
        <w:rPr>
          <w:rFonts w:hint="eastAsia"/>
          <w:sz w:val="28"/>
          <w:szCs w:val="28"/>
        </w:rPr>
        <w:t>倍。第五，允许符合条件的外国投资者来华经营保险代</w:t>
      </w:r>
      <w:r w:rsidRPr="00332FD2">
        <w:rPr>
          <w:rFonts w:hint="eastAsia"/>
          <w:sz w:val="28"/>
          <w:szCs w:val="28"/>
        </w:rPr>
        <w:lastRenderedPageBreak/>
        <w:t>理业务和保险公估业务。第六，放开外资保险经纪公司的经营范围，与中资机构一致。另外，争取明年开通沪伦通。中共中央和国务院《关于支持海南全面深化改革开放的指导意见》，提出建设海南自由贸易区和自由港的目标。</w:t>
      </w:r>
      <w:r w:rsidR="00252202">
        <w:rPr>
          <w:rFonts w:hint="eastAsia"/>
          <w:sz w:val="28"/>
          <w:szCs w:val="28"/>
        </w:rPr>
        <w:t>不过，在扩大对外开放的同时，首先要扩大对内开放，实行国企民企、城市农村平等待遇。</w:t>
      </w:r>
    </w:p>
    <w:p w:rsidR="009D28FF" w:rsidRPr="00332FD2" w:rsidRDefault="009D28FF" w:rsidP="009D28FF">
      <w:pPr>
        <w:ind w:firstLine="540"/>
        <w:rPr>
          <w:sz w:val="28"/>
          <w:szCs w:val="28"/>
        </w:rPr>
      </w:pPr>
      <w:r w:rsidRPr="00332FD2">
        <w:rPr>
          <w:rFonts w:hint="eastAsia"/>
          <w:sz w:val="28"/>
          <w:szCs w:val="28"/>
        </w:rPr>
        <w:t>复次，虽然这场争端的实质不在贸易，而是另有原因和背景，但贸易问题还要认真对待，慎重处理。习主席在博鳌论坛提出主动扩大进口，宣布中国不以追求贸易顺差为目标，真诚希望扩大进口</w:t>
      </w:r>
      <w:r w:rsidR="00252202">
        <w:rPr>
          <w:rFonts w:hint="eastAsia"/>
          <w:sz w:val="28"/>
          <w:szCs w:val="28"/>
        </w:rPr>
        <w:t>，</w:t>
      </w:r>
      <w:r w:rsidRPr="00332FD2">
        <w:rPr>
          <w:rFonts w:hint="eastAsia"/>
          <w:sz w:val="28"/>
          <w:szCs w:val="28"/>
        </w:rPr>
        <w:t>促进经常项目收支平衡，降低汽车和其他产品进口关税，加快加入世贸组织《政府采购协定》，今年在上海举办首届中国国际进口博览会，也希望发达国家放宽对中国的进口限制。因此，我们要认真研究如何扩大进口，促进贸易平衡，特别是逐步而尽快缩小中美贸易差额。同时要认真准备中美贸易谈判，通过谈判解决现有贸易争议和摩擦。</w:t>
      </w:r>
    </w:p>
    <w:p w:rsidR="009D28FF" w:rsidRPr="00332FD2" w:rsidRDefault="009D28FF" w:rsidP="009D28FF">
      <w:pPr>
        <w:ind w:firstLine="540"/>
        <w:rPr>
          <w:sz w:val="28"/>
          <w:szCs w:val="28"/>
        </w:rPr>
      </w:pPr>
      <w:r w:rsidRPr="00332FD2">
        <w:rPr>
          <w:rFonts w:hint="eastAsia"/>
          <w:sz w:val="28"/>
          <w:szCs w:val="28"/>
        </w:rPr>
        <w:t>最后，美国发起的贸易摩擦也使</w:t>
      </w:r>
      <w:r w:rsidR="00252202">
        <w:rPr>
          <w:rFonts w:hint="eastAsia"/>
          <w:sz w:val="28"/>
          <w:szCs w:val="28"/>
        </w:rPr>
        <w:t>我们</w:t>
      </w:r>
      <w:r w:rsidRPr="00332FD2">
        <w:rPr>
          <w:rFonts w:hint="eastAsia"/>
          <w:sz w:val="28"/>
          <w:szCs w:val="28"/>
        </w:rPr>
        <w:t>看到了自己发展中的短板</w:t>
      </w:r>
      <w:r w:rsidR="00252202">
        <w:rPr>
          <w:rFonts w:hint="eastAsia"/>
          <w:sz w:val="28"/>
          <w:szCs w:val="28"/>
        </w:rPr>
        <w:t>和</w:t>
      </w:r>
      <w:r w:rsidRPr="00332FD2">
        <w:rPr>
          <w:rFonts w:hint="eastAsia"/>
          <w:sz w:val="28"/>
          <w:szCs w:val="28"/>
        </w:rPr>
        <w:t>不足。比如，中国高新技术产业“缺芯”，或者说，我们的“芯还不强”，我们应当调整政策，全力以赴，把“中国芯”搞上去</w:t>
      </w:r>
      <w:r w:rsidR="00AC307F">
        <w:rPr>
          <w:rFonts w:hint="eastAsia"/>
          <w:sz w:val="28"/>
          <w:szCs w:val="28"/>
        </w:rPr>
        <w:t>，以免受制于人</w:t>
      </w:r>
      <w:r w:rsidRPr="00332FD2">
        <w:rPr>
          <w:rFonts w:hint="eastAsia"/>
          <w:sz w:val="28"/>
          <w:szCs w:val="28"/>
        </w:rPr>
        <w:t>。</w:t>
      </w:r>
    </w:p>
    <w:p w:rsidR="009D28FF" w:rsidRPr="00332FD2" w:rsidRDefault="009D28FF" w:rsidP="009D28FF">
      <w:pPr>
        <w:ind w:firstLine="540"/>
        <w:rPr>
          <w:sz w:val="28"/>
          <w:szCs w:val="28"/>
        </w:rPr>
      </w:pPr>
    </w:p>
    <w:p w:rsidR="009D28FF" w:rsidRPr="0076012B" w:rsidRDefault="009D28FF" w:rsidP="0076012B">
      <w:pPr>
        <w:jc w:val="center"/>
        <w:rPr>
          <w:b/>
          <w:sz w:val="28"/>
          <w:szCs w:val="28"/>
        </w:rPr>
      </w:pPr>
      <w:r w:rsidRPr="0076012B">
        <w:rPr>
          <w:rFonts w:hint="eastAsia"/>
          <w:b/>
          <w:sz w:val="28"/>
          <w:szCs w:val="28"/>
        </w:rPr>
        <w:t>四，体制分析</w:t>
      </w:r>
    </w:p>
    <w:p w:rsidR="009D28FF" w:rsidRPr="00332FD2" w:rsidRDefault="009D28FF" w:rsidP="009D28FF">
      <w:pPr>
        <w:rPr>
          <w:sz w:val="28"/>
          <w:szCs w:val="28"/>
        </w:rPr>
      </w:pPr>
    </w:p>
    <w:p w:rsidR="009D28FF" w:rsidRPr="00332FD2" w:rsidRDefault="009D28FF" w:rsidP="009D28FF">
      <w:pPr>
        <w:ind w:firstLine="540"/>
        <w:rPr>
          <w:sz w:val="28"/>
          <w:szCs w:val="28"/>
        </w:rPr>
      </w:pPr>
      <w:r w:rsidRPr="00332FD2">
        <w:rPr>
          <w:rFonts w:hint="eastAsia"/>
          <w:sz w:val="28"/>
          <w:szCs w:val="28"/>
        </w:rPr>
        <w:t>中国经济正在转型升级，向高质量发展转变，而人才是关键中的关键。因为人才不仅决定着新技术、新产业的发展，也决定着城市的</w:t>
      </w:r>
      <w:r w:rsidRPr="00332FD2">
        <w:rPr>
          <w:rFonts w:hint="eastAsia"/>
          <w:sz w:val="28"/>
          <w:szCs w:val="28"/>
        </w:rPr>
        <w:lastRenderedPageBreak/>
        <w:t>定位和面貌，同时决定着社会和国家的未来。因此，单位之间、地区之间、城市之间和国家之间的人才争夺如火如荼。</w:t>
      </w:r>
    </w:p>
    <w:p w:rsidR="009D28FF" w:rsidRPr="00332FD2" w:rsidRDefault="009D28FF" w:rsidP="009D28FF">
      <w:pPr>
        <w:ind w:firstLine="540"/>
        <w:rPr>
          <w:sz w:val="28"/>
          <w:szCs w:val="28"/>
        </w:rPr>
      </w:pPr>
      <w:r w:rsidRPr="00332FD2">
        <w:rPr>
          <w:rFonts w:hint="eastAsia"/>
          <w:sz w:val="28"/>
          <w:szCs w:val="28"/>
        </w:rPr>
        <w:t>近几年以来，多个城市陆续发布了吸引人才的新政，对于符合条件的人才给予落户、租购房补贴、安家费、创业贷款等多方面的政策激励。实行和参与的不仅有中小城市，如顺德、东莞、佛山、潍坊等，而且有省会城市，如成都、南京、西安、杭州、郑州、长沙等。最近，深圳举办了第</w:t>
      </w:r>
      <w:r w:rsidRPr="00332FD2">
        <w:rPr>
          <w:rFonts w:hint="eastAsia"/>
          <w:sz w:val="28"/>
          <w:szCs w:val="28"/>
        </w:rPr>
        <w:t>16</w:t>
      </w:r>
      <w:r w:rsidRPr="00332FD2">
        <w:rPr>
          <w:rFonts w:hint="eastAsia"/>
          <w:sz w:val="28"/>
          <w:szCs w:val="28"/>
        </w:rPr>
        <w:t>届中国国际人才交流大会，人才需求暴涨，特别是海外高层次人才“炙手可热”，而携带先进创新创业项目回国的海归创业团队更是各地政府以及风投机构“追捧”的对象，可谓“千金难买好项目”！算法科学家薪资</w:t>
      </w:r>
      <w:r w:rsidRPr="00332FD2">
        <w:rPr>
          <w:rFonts w:hint="eastAsia"/>
          <w:sz w:val="28"/>
          <w:szCs w:val="28"/>
        </w:rPr>
        <w:t xml:space="preserve"> 100-500</w:t>
      </w:r>
      <w:r w:rsidRPr="00332FD2">
        <w:rPr>
          <w:rFonts w:hint="eastAsia"/>
          <w:sz w:val="28"/>
          <w:szCs w:val="28"/>
        </w:rPr>
        <w:t>万元</w:t>
      </w:r>
      <w:r w:rsidRPr="00332FD2">
        <w:rPr>
          <w:rFonts w:hint="eastAsia"/>
          <w:sz w:val="28"/>
          <w:szCs w:val="28"/>
        </w:rPr>
        <w:t>/</w:t>
      </w:r>
      <w:r w:rsidRPr="00332FD2">
        <w:rPr>
          <w:rFonts w:hint="eastAsia"/>
          <w:sz w:val="28"/>
          <w:szCs w:val="28"/>
        </w:rPr>
        <w:t>年</w:t>
      </w:r>
      <w:r w:rsidRPr="00332FD2">
        <w:rPr>
          <w:rFonts w:hint="eastAsia"/>
          <w:sz w:val="28"/>
          <w:szCs w:val="28"/>
        </w:rPr>
        <w:t>+</w:t>
      </w:r>
      <w:r w:rsidRPr="00332FD2">
        <w:rPr>
          <w:rFonts w:hint="eastAsia"/>
          <w:sz w:val="28"/>
          <w:szCs w:val="28"/>
        </w:rPr>
        <w:t>股权，算法工程师薪资</w:t>
      </w:r>
      <w:r w:rsidRPr="00332FD2">
        <w:rPr>
          <w:rFonts w:hint="eastAsia"/>
          <w:sz w:val="28"/>
          <w:szCs w:val="28"/>
        </w:rPr>
        <w:t xml:space="preserve"> 1.5-4</w:t>
      </w:r>
      <w:r w:rsidRPr="00332FD2">
        <w:rPr>
          <w:rFonts w:hint="eastAsia"/>
          <w:sz w:val="28"/>
          <w:szCs w:val="28"/>
        </w:rPr>
        <w:t>万元</w:t>
      </w:r>
      <w:r w:rsidRPr="00332FD2">
        <w:rPr>
          <w:rFonts w:hint="eastAsia"/>
          <w:sz w:val="28"/>
          <w:szCs w:val="28"/>
        </w:rPr>
        <w:t>/</w:t>
      </w:r>
      <w:r w:rsidRPr="00332FD2">
        <w:rPr>
          <w:rFonts w:hint="eastAsia"/>
          <w:sz w:val="28"/>
          <w:szCs w:val="28"/>
        </w:rPr>
        <w:t>月。</w:t>
      </w:r>
      <w:r w:rsidRPr="00332FD2">
        <w:rPr>
          <w:rFonts w:hint="eastAsia"/>
          <w:sz w:val="28"/>
          <w:szCs w:val="28"/>
        </w:rPr>
        <w:t>3</w:t>
      </w:r>
      <w:r w:rsidRPr="00332FD2">
        <w:rPr>
          <w:rFonts w:hint="eastAsia"/>
          <w:sz w:val="28"/>
          <w:szCs w:val="28"/>
        </w:rPr>
        <w:t>月</w:t>
      </w:r>
      <w:r w:rsidRPr="00332FD2">
        <w:rPr>
          <w:rFonts w:hint="eastAsia"/>
          <w:sz w:val="28"/>
          <w:szCs w:val="28"/>
        </w:rPr>
        <w:t>21</w:t>
      </w:r>
      <w:r w:rsidRPr="00332FD2">
        <w:rPr>
          <w:rFonts w:hint="eastAsia"/>
          <w:sz w:val="28"/>
          <w:szCs w:val="28"/>
        </w:rPr>
        <w:t>日，北京市人社局发布《北京市引进人才管理办法（试行）》，提出“用多种方式不拘一格地为市行政区域内各类创新主体引进紧缺急需人才”。</w:t>
      </w:r>
      <w:r w:rsidRPr="00332FD2">
        <w:rPr>
          <w:rFonts w:hint="eastAsia"/>
          <w:sz w:val="28"/>
          <w:szCs w:val="28"/>
        </w:rPr>
        <w:t>3</w:t>
      </w:r>
      <w:r w:rsidRPr="00332FD2">
        <w:rPr>
          <w:rFonts w:hint="eastAsia"/>
          <w:sz w:val="28"/>
          <w:szCs w:val="28"/>
        </w:rPr>
        <w:t>月</w:t>
      </w:r>
      <w:r w:rsidRPr="00332FD2">
        <w:rPr>
          <w:rFonts w:hint="eastAsia"/>
          <w:sz w:val="28"/>
          <w:szCs w:val="28"/>
        </w:rPr>
        <w:t>26</w:t>
      </w:r>
      <w:r w:rsidRPr="00332FD2">
        <w:rPr>
          <w:rFonts w:hint="eastAsia"/>
          <w:sz w:val="28"/>
          <w:szCs w:val="28"/>
        </w:rPr>
        <w:t>日，上海举行人才工作大会，出台了《上海加快实施人才高峰工程行动方案》。北京</w:t>
      </w:r>
      <w:r w:rsidR="00AC307F">
        <w:rPr>
          <w:rFonts w:hint="eastAsia"/>
          <w:sz w:val="28"/>
          <w:szCs w:val="28"/>
        </w:rPr>
        <w:t>和</w:t>
      </w:r>
      <w:r w:rsidRPr="00332FD2">
        <w:rPr>
          <w:rFonts w:hint="eastAsia"/>
          <w:sz w:val="28"/>
          <w:szCs w:val="28"/>
        </w:rPr>
        <w:t>上海的加入意味着城市人才争夺战进入了一个新的高潮。</w:t>
      </w:r>
    </w:p>
    <w:p w:rsidR="009D28FF" w:rsidRPr="00332FD2" w:rsidRDefault="009D28FF" w:rsidP="009D28FF">
      <w:pPr>
        <w:ind w:firstLine="540"/>
        <w:rPr>
          <w:sz w:val="28"/>
          <w:szCs w:val="28"/>
        </w:rPr>
      </w:pPr>
      <w:r w:rsidRPr="00332FD2">
        <w:rPr>
          <w:rFonts w:hint="eastAsia"/>
          <w:sz w:val="28"/>
          <w:szCs w:val="28"/>
        </w:rPr>
        <w:t>北京的办法规定，人才引入将围绕首都“四个中心”的战略定位，首先是科技领域的顶尖人才，还包括创新创业团队、文化创意、国际交往中心建设、金融、教育科学研究和医疗卫生健康等专业人才。《办法》规定，引进人才无产权房的，可在聘用单位的集体户或聘用单位所在区人才公共服务机构的集体户落户，配偶和未成年子女可随调随迁，在京买房将户口移至住房名下。这也就成为取得进京户籍的一条渠道。特别是为了引进全球一流人才，放宽签证政策，为海外高层次</w:t>
      </w:r>
      <w:r w:rsidRPr="00332FD2">
        <w:rPr>
          <w:rFonts w:hint="eastAsia"/>
          <w:sz w:val="28"/>
          <w:szCs w:val="28"/>
        </w:rPr>
        <w:lastRenderedPageBreak/>
        <w:t>人才办理最长期限为</w:t>
      </w:r>
      <w:r w:rsidRPr="00332FD2">
        <w:rPr>
          <w:rFonts w:hint="eastAsia"/>
          <w:sz w:val="28"/>
          <w:szCs w:val="28"/>
        </w:rPr>
        <w:t>10</w:t>
      </w:r>
      <w:r w:rsidRPr="00332FD2">
        <w:rPr>
          <w:rFonts w:hint="eastAsia"/>
          <w:sz w:val="28"/>
          <w:szCs w:val="28"/>
        </w:rPr>
        <w:t>年的多次往返人才签证，并在申请办理在华永久居留（也称绿卡）方面提供便捷服务，同时提供高达</w:t>
      </w:r>
      <w:r w:rsidRPr="00332FD2">
        <w:rPr>
          <w:rFonts w:hint="eastAsia"/>
          <w:sz w:val="28"/>
          <w:szCs w:val="28"/>
        </w:rPr>
        <w:t>100</w:t>
      </w:r>
      <w:r w:rsidRPr="00332FD2">
        <w:rPr>
          <w:rFonts w:hint="eastAsia"/>
          <w:sz w:val="28"/>
          <w:szCs w:val="28"/>
        </w:rPr>
        <w:t>万元的奖励。</w:t>
      </w:r>
    </w:p>
    <w:p w:rsidR="009D28FF" w:rsidRPr="00332FD2" w:rsidRDefault="009D28FF" w:rsidP="009D28FF">
      <w:pPr>
        <w:ind w:firstLine="540"/>
        <w:rPr>
          <w:sz w:val="28"/>
          <w:szCs w:val="28"/>
        </w:rPr>
      </w:pPr>
      <w:r w:rsidRPr="00332FD2">
        <w:rPr>
          <w:rFonts w:hint="eastAsia"/>
          <w:sz w:val="28"/>
          <w:szCs w:val="28"/>
        </w:rPr>
        <w:t>上海《方案》也提出对宇宙起源和天体观测、光子科学、大数据等</w:t>
      </w:r>
      <w:r w:rsidRPr="00332FD2">
        <w:rPr>
          <w:rFonts w:hint="eastAsia"/>
          <w:sz w:val="28"/>
          <w:szCs w:val="28"/>
        </w:rPr>
        <w:t>13</w:t>
      </w:r>
      <w:r w:rsidRPr="00332FD2">
        <w:rPr>
          <w:rFonts w:hint="eastAsia"/>
          <w:sz w:val="28"/>
          <w:szCs w:val="28"/>
        </w:rPr>
        <w:t>个领域的高端人才，给予本人及家属、核心团队成员及其家属可以直接办理本市户籍的优惠，上海市委书记李强指出，要加快建立具有全球竞争力的人才制度体系，努力建设世界一流的人才发展环境，让上海成为全球英才最想往的地方。</w:t>
      </w:r>
    </w:p>
    <w:p w:rsidR="009D28FF" w:rsidRPr="00332FD2" w:rsidRDefault="009D28FF" w:rsidP="009D28FF">
      <w:pPr>
        <w:ind w:firstLine="540"/>
        <w:rPr>
          <w:sz w:val="28"/>
          <w:szCs w:val="28"/>
        </w:rPr>
      </w:pPr>
      <w:r w:rsidRPr="00332FD2">
        <w:rPr>
          <w:rFonts w:hint="eastAsia"/>
          <w:sz w:val="28"/>
          <w:szCs w:val="28"/>
        </w:rPr>
        <w:t>此外，南京规定，</w:t>
      </w:r>
      <w:r w:rsidRPr="00332FD2">
        <w:rPr>
          <w:rFonts w:hint="eastAsia"/>
          <w:sz w:val="28"/>
          <w:szCs w:val="28"/>
        </w:rPr>
        <w:t>40</w:t>
      </w:r>
      <w:r w:rsidRPr="00332FD2">
        <w:rPr>
          <w:rFonts w:hint="eastAsia"/>
          <w:sz w:val="28"/>
          <w:szCs w:val="28"/>
        </w:rPr>
        <w:t>岁以下、本科学历就可以落户。西安市也于</w:t>
      </w:r>
      <w:r w:rsidRPr="00332FD2">
        <w:rPr>
          <w:rFonts w:hint="eastAsia"/>
          <w:sz w:val="28"/>
          <w:szCs w:val="28"/>
        </w:rPr>
        <w:t>3</w:t>
      </w:r>
      <w:r w:rsidRPr="00332FD2">
        <w:rPr>
          <w:rFonts w:hint="eastAsia"/>
          <w:sz w:val="28"/>
          <w:szCs w:val="28"/>
        </w:rPr>
        <w:t>月</w:t>
      </w:r>
      <w:r w:rsidRPr="00332FD2">
        <w:rPr>
          <w:rFonts w:hint="eastAsia"/>
          <w:sz w:val="28"/>
          <w:szCs w:val="28"/>
        </w:rPr>
        <w:t>23</w:t>
      </w:r>
      <w:r w:rsidRPr="00332FD2">
        <w:rPr>
          <w:rFonts w:hint="eastAsia"/>
          <w:sz w:val="28"/>
          <w:szCs w:val="28"/>
        </w:rPr>
        <w:t>日宣布，“面向全国在校大学生仅凭学生证和身份证可在线落户大西安”。宣布当天，迁入落户</w:t>
      </w:r>
      <w:r w:rsidRPr="00332FD2">
        <w:rPr>
          <w:rFonts w:hint="eastAsia"/>
          <w:sz w:val="28"/>
          <w:szCs w:val="28"/>
        </w:rPr>
        <w:t>8050</w:t>
      </w:r>
      <w:r w:rsidRPr="00332FD2">
        <w:rPr>
          <w:rFonts w:hint="eastAsia"/>
          <w:sz w:val="28"/>
          <w:szCs w:val="28"/>
        </w:rPr>
        <w:t>人，三天共迁入</w:t>
      </w:r>
      <w:r w:rsidRPr="00332FD2">
        <w:rPr>
          <w:rFonts w:hint="eastAsia"/>
          <w:sz w:val="28"/>
          <w:szCs w:val="28"/>
        </w:rPr>
        <w:t>15552</w:t>
      </w:r>
      <w:r w:rsidRPr="00332FD2">
        <w:rPr>
          <w:rFonts w:hint="eastAsia"/>
          <w:sz w:val="28"/>
          <w:szCs w:val="28"/>
        </w:rPr>
        <w:t>人。</w:t>
      </w:r>
    </w:p>
    <w:p w:rsidR="009D28FF" w:rsidRPr="00332FD2" w:rsidRDefault="009D28FF" w:rsidP="009D28FF">
      <w:pPr>
        <w:ind w:firstLine="540"/>
        <w:rPr>
          <w:sz w:val="28"/>
          <w:szCs w:val="28"/>
        </w:rPr>
      </w:pPr>
      <w:r w:rsidRPr="00332FD2">
        <w:rPr>
          <w:rFonts w:hint="eastAsia"/>
          <w:sz w:val="28"/>
          <w:szCs w:val="28"/>
        </w:rPr>
        <w:t>总体来看，人才竞争是件好事，说明我们重视了人，重视了人才，不再“见物不见人”</w:t>
      </w:r>
      <w:r w:rsidR="00AC307F">
        <w:rPr>
          <w:rFonts w:hint="eastAsia"/>
          <w:sz w:val="28"/>
          <w:szCs w:val="28"/>
        </w:rPr>
        <w:t>、“见官不见民”</w:t>
      </w:r>
      <w:r w:rsidRPr="00332FD2">
        <w:rPr>
          <w:rFonts w:hint="eastAsia"/>
          <w:sz w:val="28"/>
          <w:szCs w:val="28"/>
        </w:rPr>
        <w:t>。但仔细观察，有很多问题值得讨论。</w:t>
      </w:r>
    </w:p>
    <w:p w:rsidR="009D28FF" w:rsidRPr="00332FD2" w:rsidRDefault="009D28FF" w:rsidP="009D28FF">
      <w:pPr>
        <w:ind w:firstLine="540"/>
        <w:rPr>
          <w:sz w:val="28"/>
          <w:szCs w:val="28"/>
        </w:rPr>
      </w:pPr>
      <w:r w:rsidRPr="00332FD2">
        <w:rPr>
          <w:rFonts w:hint="eastAsia"/>
          <w:sz w:val="28"/>
          <w:szCs w:val="28"/>
        </w:rPr>
        <w:t>首先，什么是人才？大学生算不算人才？引进人才干什么？很多学校都在引进院士、长江学者，于是互挤互挖，一些单位只要名头，</w:t>
      </w:r>
      <w:r w:rsidR="00AC307F">
        <w:rPr>
          <w:rFonts w:hint="eastAsia"/>
          <w:sz w:val="28"/>
          <w:szCs w:val="28"/>
        </w:rPr>
        <w:t>并不是要他们干事</w:t>
      </w:r>
      <w:r w:rsidRPr="00332FD2">
        <w:rPr>
          <w:rFonts w:hint="eastAsia"/>
          <w:sz w:val="28"/>
          <w:szCs w:val="28"/>
        </w:rPr>
        <w:t>，一些人也看准了这种情况，或多处兼职，或不断变换单位，把名头的价值最大化。</w:t>
      </w:r>
    </w:p>
    <w:p w:rsidR="009D28FF" w:rsidRPr="00332FD2" w:rsidRDefault="009D28FF" w:rsidP="009D28FF">
      <w:pPr>
        <w:ind w:firstLine="540"/>
        <w:rPr>
          <w:sz w:val="28"/>
          <w:szCs w:val="28"/>
        </w:rPr>
      </w:pPr>
      <w:r w:rsidRPr="00332FD2">
        <w:rPr>
          <w:rFonts w:hint="eastAsia"/>
          <w:sz w:val="28"/>
          <w:szCs w:val="28"/>
        </w:rPr>
        <w:t>其次，靠什么吸引人才？目前都是给房子、给补贴、给奖励、给户籍，这些都相当重要，但不是吸引和留住人才的决定因素。决定的因素有二，一是产业和事业发展机会和城市环境，因为人才是要干事和搞事业的，不是来坐享其成的；二是真正尊重人才，并给引进人才</w:t>
      </w:r>
      <w:r w:rsidRPr="00332FD2">
        <w:rPr>
          <w:rFonts w:hint="eastAsia"/>
          <w:sz w:val="28"/>
          <w:szCs w:val="28"/>
        </w:rPr>
        <w:lastRenderedPageBreak/>
        <w:t>以充分的自由。如果不尊重人才，不给予充分自由，不仅引进人才发挥不了作用，也就无法再吸引人才。这方面存在的问题也许最大最多，因为一个官本位的社会，尊重的是官，官员有无限权力和自由，就不会尊重人才，其自由也就会受到不应有的限制。</w:t>
      </w:r>
    </w:p>
    <w:p w:rsidR="009D28FF" w:rsidRPr="00332FD2" w:rsidRDefault="009D28FF" w:rsidP="009D28FF">
      <w:pPr>
        <w:ind w:firstLine="540"/>
        <w:rPr>
          <w:sz w:val="28"/>
          <w:szCs w:val="28"/>
        </w:rPr>
      </w:pPr>
      <w:r w:rsidRPr="00332FD2">
        <w:rPr>
          <w:rFonts w:hint="eastAsia"/>
          <w:sz w:val="28"/>
          <w:szCs w:val="28"/>
        </w:rPr>
        <w:t>再次，城市人口是一个生态，人才也有一个合理的结构，既需要高端人才，也需要中低端人才，还需要一般劳动者。我们一方面在大力引进高端人才，另一方面却在驱赶低端人口；一方面高学扩招和鼓励考研，另一方面职业技术教育始终是一条短腿；一方面从国外引进人才，另一方面，国内人才大量流失；一方面在批判美国，另一方面又把子女送到美国。这种矛盾的做法不能不使人发生质疑。</w:t>
      </w:r>
    </w:p>
    <w:p w:rsidR="009D28FF" w:rsidRPr="00332FD2" w:rsidRDefault="009D28FF" w:rsidP="009D28FF">
      <w:pPr>
        <w:ind w:firstLine="540"/>
        <w:rPr>
          <w:sz w:val="28"/>
          <w:szCs w:val="28"/>
        </w:rPr>
      </w:pPr>
      <w:r w:rsidRPr="00332FD2">
        <w:rPr>
          <w:rFonts w:hint="eastAsia"/>
          <w:sz w:val="28"/>
          <w:szCs w:val="28"/>
        </w:rPr>
        <w:t>复次，吸引人才最根本的还是要靠制度，但我们的一系列制度却跟不上。就拿户籍制度来看，其背后涉及到教育、住房、医疗等一系列制度安排和公共服务，改革多年，到现在仍然没有迁徙自由。在一些沿海城市，农民工已经成为制造业的主力，而“</w:t>
      </w:r>
      <w:r w:rsidRPr="00332FD2">
        <w:rPr>
          <w:rFonts w:hint="eastAsia"/>
          <w:sz w:val="28"/>
          <w:szCs w:val="28"/>
        </w:rPr>
        <w:t>80</w:t>
      </w:r>
      <w:r w:rsidRPr="00332FD2">
        <w:rPr>
          <w:rFonts w:hint="eastAsia"/>
          <w:sz w:val="28"/>
          <w:szCs w:val="28"/>
        </w:rPr>
        <w:t>后”、“</w:t>
      </w:r>
      <w:r w:rsidRPr="00332FD2">
        <w:rPr>
          <w:rFonts w:hint="eastAsia"/>
          <w:sz w:val="28"/>
          <w:szCs w:val="28"/>
        </w:rPr>
        <w:t>90</w:t>
      </w:r>
      <w:r w:rsidRPr="00332FD2">
        <w:rPr>
          <w:rFonts w:hint="eastAsia"/>
          <w:sz w:val="28"/>
          <w:szCs w:val="28"/>
        </w:rPr>
        <w:t>后”也不可能再回到农村，但进城落户的问题还无法解决。无论是实行积分制，还是发放“德才卡”，都是一种人为的管制办法，不仅造成巨大的扭曲，不能解决问题，反而造成新的问题，而且提供了寻租腐败的机会。</w:t>
      </w:r>
    </w:p>
    <w:p w:rsidR="009D28FF" w:rsidRPr="00332FD2" w:rsidRDefault="009D28FF" w:rsidP="009D28FF">
      <w:pPr>
        <w:ind w:firstLine="540"/>
        <w:rPr>
          <w:sz w:val="28"/>
          <w:szCs w:val="28"/>
        </w:rPr>
      </w:pPr>
      <w:r w:rsidRPr="00332FD2">
        <w:rPr>
          <w:rFonts w:hint="eastAsia"/>
          <w:sz w:val="28"/>
          <w:szCs w:val="28"/>
        </w:rPr>
        <w:t>最后，北京、上海等特大城市设置人口控制上限，不知有多少科学和事实根据，仍然是计划经济的思维方式。国外的一些都市圈，如东京、纽约，比北京、上海的人口多得多，也没有发生什么问题，我们为什么要担心北京和上海人口过多，要进行控制呢。人是最活动的，</w:t>
      </w:r>
      <w:r w:rsidRPr="00332FD2">
        <w:rPr>
          <w:rFonts w:hint="eastAsia"/>
          <w:sz w:val="28"/>
          <w:szCs w:val="28"/>
        </w:rPr>
        <w:lastRenderedPageBreak/>
        <w:t>人口流动自然有自己的平衡机制，东北人口流出对于振兴东北有利，北京、上海人口流入，也有利于北京上海的发展。它不仅会迫使我们提高社会治理的水平，而且会平衡公共服务设施，平等享受公共服务。对于这样的问题，应当进行充分讨论和论证，而不是由一些人拍脑袋决定。</w:t>
      </w:r>
    </w:p>
    <w:p w:rsidR="009D28FF" w:rsidRPr="00332FD2" w:rsidRDefault="009D28FF" w:rsidP="009D28FF">
      <w:pPr>
        <w:rPr>
          <w:sz w:val="28"/>
          <w:szCs w:val="28"/>
        </w:rPr>
      </w:pPr>
    </w:p>
    <w:p w:rsidR="009D28FF" w:rsidRPr="0076012B" w:rsidRDefault="009D28FF" w:rsidP="0076012B">
      <w:pPr>
        <w:jc w:val="center"/>
        <w:rPr>
          <w:b/>
          <w:sz w:val="28"/>
          <w:szCs w:val="28"/>
        </w:rPr>
      </w:pPr>
      <w:r w:rsidRPr="0076012B">
        <w:rPr>
          <w:rFonts w:hint="eastAsia"/>
          <w:b/>
          <w:sz w:val="28"/>
          <w:szCs w:val="28"/>
        </w:rPr>
        <w:t>五，趋势预测</w:t>
      </w:r>
    </w:p>
    <w:p w:rsidR="009D28FF" w:rsidRPr="00332FD2" w:rsidRDefault="009D28FF" w:rsidP="009D28FF">
      <w:pPr>
        <w:rPr>
          <w:sz w:val="28"/>
          <w:szCs w:val="28"/>
        </w:rPr>
      </w:pPr>
    </w:p>
    <w:p w:rsidR="009D28FF" w:rsidRPr="00332FD2" w:rsidRDefault="009D28FF" w:rsidP="009D28FF">
      <w:pPr>
        <w:ind w:left="140" w:hangingChars="50" w:hanging="140"/>
        <w:rPr>
          <w:sz w:val="28"/>
          <w:szCs w:val="28"/>
        </w:rPr>
      </w:pPr>
      <w:r w:rsidRPr="00332FD2">
        <w:rPr>
          <w:rFonts w:hint="eastAsia"/>
          <w:sz w:val="28"/>
          <w:szCs w:val="28"/>
        </w:rPr>
        <w:t xml:space="preserve">    </w:t>
      </w:r>
      <w:r w:rsidRPr="00332FD2">
        <w:rPr>
          <w:rFonts w:hint="eastAsia"/>
          <w:sz w:val="28"/>
          <w:szCs w:val="28"/>
        </w:rPr>
        <w:t>根据中国社会科学院世经政所世界经济预测与政策模拟实验室的分析，今年</w:t>
      </w:r>
      <w:r w:rsidRPr="00332FD2">
        <w:rPr>
          <w:rFonts w:hint="eastAsia"/>
          <w:sz w:val="28"/>
          <w:szCs w:val="28"/>
        </w:rPr>
        <w:t>1</w:t>
      </w:r>
      <w:r w:rsidRPr="00332FD2">
        <w:rPr>
          <w:rFonts w:hint="eastAsia"/>
          <w:sz w:val="28"/>
          <w:szCs w:val="28"/>
        </w:rPr>
        <w:t>季度，中国外部经济仍在高位运行，</w:t>
      </w:r>
      <w:r w:rsidRPr="00332FD2">
        <w:rPr>
          <w:rFonts w:hint="eastAsia"/>
          <w:sz w:val="28"/>
          <w:szCs w:val="28"/>
        </w:rPr>
        <w:t>CEEM-PMI56.5</w:t>
      </w:r>
      <w:r w:rsidRPr="00332FD2">
        <w:rPr>
          <w:rFonts w:hint="eastAsia"/>
          <w:sz w:val="28"/>
          <w:szCs w:val="28"/>
        </w:rPr>
        <w:t>，与上季度持平，</w:t>
      </w:r>
      <w:r w:rsidRPr="00332FD2">
        <w:rPr>
          <w:rFonts w:hint="eastAsia"/>
          <w:sz w:val="28"/>
          <w:szCs w:val="28"/>
        </w:rPr>
        <w:t>3</w:t>
      </w:r>
      <w:r w:rsidRPr="00332FD2">
        <w:rPr>
          <w:rFonts w:hint="eastAsia"/>
          <w:sz w:val="28"/>
          <w:szCs w:val="28"/>
        </w:rPr>
        <w:t>月小幅下挫。美国经济景气高位抬升，制造业采购经理指数均值</w:t>
      </w:r>
      <w:r w:rsidRPr="00332FD2">
        <w:rPr>
          <w:rFonts w:hint="eastAsia"/>
          <w:sz w:val="28"/>
          <w:szCs w:val="28"/>
        </w:rPr>
        <w:t xml:space="preserve"> 59.7</w:t>
      </w:r>
      <w:r w:rsidRPr="00332FD2">
        <w:rPr>
          <w:rFonts w:hint="eastAsia"/>
          <w:sz w:val="28"/>
          <w:szCs w:val="28"/>
        </w:rPr>
        <w:t>，较上季上升</w:t>
      </w:r>
      <w:r w:rsidRPr="00332FD2">
        <w:rPr>
          <w:rFonts w:hint="eastAsia"/>
          <w:sz w:val="28"/>
          <w:szCs w:val="28"/>
        </w:rPr>
        <w:t xml:space="preserve">1 </w:t>
      </w:r>
      <w:r w:rsidRPr="00332FD2">
        <w:rPr>
          <w:rFonts w:hint="eastAsia"/>
          <w:sz w:val="28"/>
          <w:szCs w:val="28"/>
        </w:rPr>
        <w:t>个百分点，非制造业</w:t>
      </w:r>
      <w:r w:rsidRPr="00332FD2">
        <w:rPr>
          <w:rFonts w:hint="eastAsia"/>
          <w:sz w:val="28"/>
          <w:szCs w:val="28"/>
        </w:rPr>
        <w:t>59.4</w:t>
      </w:r>
      <w:r w:rsidRPr="00332FD2">
        <w:rPr>
          <w:rFonts w:hint="eastAsia"/>
          <w:sz w:val="28"/>
          <w:szCs w:val="28"/>
        </w:rPr>
        <w:t>，上升</w:t>
      </w:r>
      <w:r w:rsidRPr="00332FD2">
        <w:rPr>
          <w:rFonts w:hint="eastAsia"/>
          <w:sz w:val="28"/>
          <w:szCs w:val="28"/>
        </w:rPr>
        <w:t>1.6</w:t>
      </w:r>
      <w:r w:rsidRPr="00332FD2">
        <w:rPr>
          <w:rFonts w:hint="eastAsia"/>
          <w:sz w:val="28"/>
          <w:szCs w:val="28"/>
        </w:rPr>
        <w:t>个百分点。失业率连续</w:t>
      </w:r>
      <w:r w:rsidRPr="00332FD2">
        <w:rPr>
          <w:rFonts w:hint="eastAsia"/>
          <w:sz w:val="28"/>
          <w:szCs w:val="28"/>
        </w:rPr>
        <w:t>6</w:t>
      </w:r>
      <w:r w:rsidRPr="00332FD2">
        <w:rPr>
          <w:rFonts w:hint="eastAsia"/>
          <w:sz w:val="28"/>
          <w:szCs w:val="28"/>
        </w:rPr>
        <w:t>个月保持在</w:t>
      </w:r>
      <w:r w:rsidRPr="00332FD2">
        <w:rPr>
          <w:rFonts w:hint="eastAsia"/>
          <w:sz w:val="28"/>
          <w:szCs w:val="28"/>
        </w:rPr>
        <w:t>4.1%</w:t>
      </w:r>
      <w:r w:rsidRPr="00332FD2">
        <w:rPr>
          <w:rFonts w:hint="eastAsia"/>
          <w:sz w:val="28"/>
          <w:szCs w:val="28"/>
        </w:rPr>
        <w:t>的低水平，加之特朗普减税政策的刺激作用，投资和消费双方走强。美联储</w:t>
      </w:r>
      <w:r w:rsidRPr="00332FD2">
        <w:rPr>
          <w:rFonts w:hint="eastAsia"/>
          <w:sz w:val="28"/>
          <w:szCs w:val="28"/>
        </w:rPr>
        <w:t>3</w:t>
      </w:r>
      <w:r w:rsidRPr="00332FD2">
        <w:rPr>
          <w:rFonts w:hint="eastAsia"/>
          <w:sz w:val="28"/>
          <w:szCs w:val="28"/>
        </w:rPr>
        <w:t>月</w:t>
      </w:r>
      <w:r w:rsidRPr="00332FD2">
        <w:rPr>
          <w:rFonts w:hint="eastAsia"/>
          <w:sz w:val="28"/>
          <w:szCs w:val="28"/>
        </w:rPr>
        <w:t>21</w:t>
      </w:r>
      <w:r w:rsidRPr="00332FD2">
        <w:rPr>
          <w:rFonts w:hint="eastAsia"/>
          <w:sz w:val="28"/>
          <w:szCs w:val="28"/>
        </w:rPr>
        <w:t>日第</w:t>
      </w:r>
      <w:r w:rsidRPr="00332FD2">
        <w:rPr>
          <w:rFonts w:hint="eastAsia"/>
          <w:sz w:val="28"/>
          <w:szCs w:val="28"/>
        </w:rPr>
        <w:t>6</w:t>
      </w:r>
      <w:r w:rsidRPr="00332FD2">
        <w:rPr>
          <w:rFonts w:hint="eastAsia"/>
          <w:sz w:val="28"/>
          <w:szCs w:val="28"/>
        </w:rPr>
        <w:t>次加息，联邦基金利率上限已经从金融危机后的</w:t>
      </w:r>
      <w:r w:rsidRPr="00332FD2">
        <w:rPr>
          <w:rFonts w:hint="eastAsia"/>
          <w:sz w:val="28"/>
          <w:szCs w:val="28"/>
        </w:rPr>
        <w:t>0.25%</w:t>
      </w:r>
      <w:r w:rsidRPr="00332FD2">
        <w:rPr>
          <w:rFonts w:hint="eastAsia"/>
          <w:sz w:val="28"/>
          <w:szCs w:val="28"/>
        </w:rPr>
        <w:t>提高到</w:t>
      </w:r>
      <w:r w:rsidRPr="00332FD2">
        <w:rPr>
          <w:rFonts w:hint="eastAsia"/>
          <w:sz w:val="28"/>
          <w:szCs w:val="28"/>
        </w:rPr>
        <w:t>1.75%</w:t>
      </w:r>
      <w:r w:rsidRPr="00332FD2">
        <w:rPr>
          <w:rFonts w:hint="eastAsia"/>
          <w:sz w:val="28"/>
          <w:szCs w:val="28"/>
        </w:rPr>
        <w:t>，表明经济增长基础渐趋稳固。欧元区经济景气高位小幅回落，</w:t>
      </w:r>
      <w:r w:rsidRPr="00332FD2">
        <w:rPr>
          <w:rFonts w:hint="eastAsia"/>
          <w:sz w:val="28"/>
          <w:szCs w:val="28"/>
        </w:rPr>
        <w:t>PMI</w:t>
      </w:r>
      <w:r w:rsidRPr="00332FD2">
        <w:rPr>
          <w:rFonts w:hint="eastAsia"/>
          <w:sz w:val="28"/>
          <w:szCs w:val="28"/>
        </w:rPr>
        <w:t>从</w:t>
      </w:r>
      <w:r w:rsidRPr="00332FD2">
        <w:rPr>
          <w:rFonts w:hint="eastAsia"/>
          <w:sz w:val="28"/>
          <w:szCs w:val="28"/>
        </w:rPr>
        <w:t>58.3</w:t>
      </w:r>
      <w:r w:rsidRPr="00332FD2">
        <w:rPr>
          <w:rFonts w:hint="eastAsia"/>
          <w:sz w:val="28"/>
          <w:szCs w:val="28"/>
        </w:rPr>
        <w:t>下降到</w:t>
      </w:r>
      <w:r w:rsidRPr="00332FD2">
        <w:rPr>
          <w:rFonts w:hint="eastAsia"/>
          <w:sz w:val="28"/>
          <w:szCs w:val="28"/>
        </w:rPr>
        <w:t>56.4</w:t>
      </w:r>
      <w:r w:rsidRPr="00332FD2">
        <w:rPr>
          <w:rFonts w:hint="eastAsia"/>
          <w:sz w:val="28"/>
          <w:szCs w:val="28"/>
        </w:rPr>
        <w:t>，失业率处于下降通道，</w:t>
      </w:r>
      <w:r w:rsidRPr="00332FD2">
        <w:rPr>
          <w:rFonts w:hint="eastAsia"/>
          <w:sz w:val="28"/>
          <w:szCs w:val="28"/>
        </w:rPr>
        <w:t>2</w:t>
      </w:r>
      <w:r w:rsidRPr="00332FD2">
        <w:rPr>
          <w:rFonts w:hint="eastAsia"/>
          <w:sz w:val="28"/>
          <w:szCs w:val="28"/>
        </w:rPr>
        <w:t>月份为</w:t>
      </w:r>
      <w:r w:rsidRPr="00332FD2">
        <w:rPr>
          <w:rFonts w:hint="eastAsia"/>
          <w:sz w:val="28"/>
          <w:szCs w:val="28"/>
        </w:rPr>
        <w:t>8.5%</w:t>
      </w:r>
      <w:r w:rsidRPr="00332FD2">
        <w:rPr>
          <w:rFonts w:hint="eastAsia"/>
          <w:sz w:val="28"/>
          <w:szCs w:val="28"/>
        </w:rPr>
        <w:t>。消费者信心从</w:t>
      </w:r>
      <w:r w:rsidRPr="00332FD2">
        <w:rPr>
          <w:rFonts w:hint="eastAsia"/>
          <w:sz w:val="28"/>
          <w:szCs w:val="28"/>
        </w:rPr>
        <w:t>1.4</w:t>
      </w:r>
      <w:r w:rsidRPr="00332FD2">
        <w:rPr>
          <w:rFonts w:hint="eastAsia"/>
          <w:sz w:val="28"/>
          <w:szCs w:val="28"/>
        </w:rPr>
        <w:t>下降到</w:t>
      </w:r>
      <w:r w:rsidRPr="00332FD2">
        <w:rPr>
          <w:rFonts w:hint="eastAsia"/>
          <w:sz w:val="28"/>
          <w:szCs w:val="28"/>
        </w:rPr>
        <w:t>2</w:t>
      </w:r>
      <w:r w:rsidRPr="00332FD2">
        <w:rPr>
          <w:rFonts w:hint="eastAsia"/>
          <w:sz w:val="28"/>
          <w:szCs w:val="28"/>
        </w:rPr>
        <w:t>、</w:t>
      </w:r>
      <w:r w:rsidRPr="00332FD2">
        <w:rPr>
          <w:rFonts w:hint="eastAsia"/>
          <w:sz w:val="28"/>
          <w:szCs w:val="28"/>
        </w:rPr>
        <w:t>3</w:t>
      </w:r>
      <w:r w:rsidRPr="00332FD2">
        <w:rPr>
          <w:rFonts w:hint="eastAsia"/>
          <w:sz w:val="28"/>
          <w:szCs w:val="28"/>
        </w:rPr>
        <w:t>月份的</w:t>
      </w:r>
      <w:r w:rsidRPr="00332FD2">
        <w:rPr>
          <w:rFonts w:hint="eastAsia"/>
          <w:sz w:val="28"/>
          <w:szCs w:val="28"/>
        </w:rPr>
        <w:t>0.1</w:t>
      </w:r>
      <w:r w:rsidRPr="00332FD2">
        <w:rPr>
          <w:rFonts w:hint="eastAsia"/>
          <w:sz w:val="28"/>
          <w:szCs w:val="28"/>
        </w:rPr>
        <w:t>，居民消费支出增长趋缓，欧洲央行继续维持宽松货币政策，根据</w:t>
      </w:r>
      <w:r w:rsidRPr="00332FD2">
        <w:rPr>
          <w:rFonts w:hint="eastAsia"/>
          <w:sz w:val="28"/>
          <w:szCs w:val="28"/>
        </w:rPr>
        <w:t>3</w:t>
      </w:r>
      <w:r w:rsidRPr="00332FD2">
        <w:rPr>
          <w:rFonts w:hint="eastAsia"/>
          <w:sz w:val="28"/>
          <w:szCs w:val="28"/>
        </w:rPr>
        <w:t>月最新利率协议，维持三大政策利率不变。日本制造业</w:t>
      </w:r>
      <w:r w:rsidRPr="00332FD2">
        <w:rPr>
          <w:rFonts w:hint="eastAsia"/>
          <w:sz w:val="28"/>
          <w:szCs w:val="28"/>
        </w:rPr>
        <w:t>PMI</w:t>
      </w:r>
      <w:r w:rsidRPr="00332FD2">
        <w:rPr>
          <w:rFonts w:hint="eastAsia"/>
          <w:sz w:val="28"/>
          <w:szCs w:val="28"/>
        </w:rPr>
        <w:t>为</w:t>
      </w:r>
      <w:r w:rsidRPr="00332FD2">
        <w:rPr>
          <w:rFonts w:hint="eastAsia"/>
          <w:sz w:val="28"/>
          <w:szCs w:val="28"/>
        </w:rPr>
        <w:t>54</w:t>
      </w:r>
      <w:r w:rsidRPr="00332FD2">
        <w:rPr>
          <w:rFonts w:hint="eastAsia"/>
          <w:sz w:val="28"/>
          <w:szCs w:val="28"/>
        </w:rPr>
        <w:t>，处于高位，但工业生产指数出现下跌，中断了</w:t>
      </w:r>
      <w:r w:rsidRPr="00332FD2">
        <w:rPr>
          <w:rFonts w:hint="eastAsia"/>
          <w:sz w:val="28"/>
          <w:szCs w:val="28"/>
        </w:rPr>
        <w:t>2016</w:t>
      </w:r>
      <w:r w:rsidRPr="00332FD2">
        <w:rPr>
          <w:rFonts w:hint="eastAsia"/>
          <w:sz w:val="28"/>
          <w:szCs w:val="28"/>
        </w:rPr>
        <w:t>年以来的整体上升趋势。金砖国家继续向好，俄罗斯和巴西缓慢复苏，印度重回</w:t>
      </w:r>
      <w:r w:rsidRPr="00332FD2">
        <w:rPr>
          <w:rFonts w:hint="eastAsia"/>
          <w:sz w:val="28"/>
          <w:szCs w:val="28"/>
        </w:rPr>
        <w:t>7%</w:t>
      </w:r>
      <w:r w:rsidRPr="00332FD2">
        <w:rPr>
          <w:rFonts w:hint="eastAsia"/>
          <w:sz w:val="28"/>
          <w:szCs w:val="28"/>
        </w:rPr>
        <w:t>的增长，南非形势开始稳</w:t>
      </w:r>
      <w:r w:rsidRPr="00332FD2">
        <w:rPr>
          <w:rFonts w:hint="eastAsia"/>
          <w:sz w:val="28"/>
          <w:szCs w:val="28"/>
        </w:rPr>
        <w:lastRenderedPageBreak/>
        <w:t>定，商业信心回复。大宗商品价格先涨后跌，石油涨</w:t>
      </w:r>
      <w:r w:rsidRPr="00332FD2">
        <w:rPr>
          <w:rFonts w:hint="eastAsia"/>
          <w:sz w:val="28"/>
          <w:szCs w:val="28"/>
        </w:rPr>
        <w:t>4.74%</w:t>
      </w:r>
      <w:r w:rsidRPr="00332FD2">
        <w:rPr>
          <w:rFonts w:hint="eastAsia"/>
          <w:sz w:val="28"/>
          <w:szCs w:val="28"/>
        </w:rPr>
        <w:t>，铜、铝受中美贸易摩擦的影响双方下跌。金融市场开始进入动荡阶段，受美股处于市场高位的心理压力、中美贸易摩擦、</w:t>
      </w:r>
      <w:r w:rsidRPr="00332FD2">
        <w:rPr>
          <w:rFonts w:hint="eastAsia"/>
          <w:sz w:val="28"/>
          <w:szCs w:val="28"/>
        </w:rPr>
        <w:t>FACEBOOK</w:t>
      </w:r>
      <w:r w:rsidRPr="00332FD2">
        <w:rPr>
          <w:rFonts w:hint="eastAsia"/>
          <w:sz w:val="28"/>
          <w:szCs w:val="28"/>
        </w:rPr>
        <w:t>等事件的影响，反映预期市场波动性的指数出现两次大的波动，一度达到两年半未见的高点。标普</w:t>
      </w:r>
      <w:r w:rsidRPr="00332FD2">
        <w:rPr>
          <w:rFonts w:hint="eastAsia"/>
          <w:sz w:val="28"/>
          <w:szCs w:val="28"/>
        </w:rPr>
        <w:t>500</w:t>
      </w:r>
      <w:r w:rsidRPr="00332FD2">
        <w:rPr>
          <w:rFonts w:hint="eastAsia"/>
          <w:sz w:val="28"/>
          <w:szCs w:val="28"/>
        </w:rPr>
        <w:t>指数最大波幅达</w:t>
      </w:r>
      <w:r w:rsidRPr="00332FD2">
        <w:rPr>
          <w:rFonts w:hint="eastAsia"/>
          <w:sz w:val="28"/>
          <w:szCs w:val="28"/>
        </w:rPr>
        <w:t>11.3</w:t>
      </w:r>
      <w:r w:rsidRPr="00332FD2">
        <w:rPr>
          <w:rFonts w:hint="eastAsia"/>
          <w:sz w:val="28"/>
          <w:szCs w:val="28"/>
        </w:rPr>
        <w:t>个百分点，法德日及新兴经济体股市也跟着大幅下跌和回调。总体来看，未来几个季度全球经济还会在高位运行，但增长势头会逐渐下降。</w:t>
      </w:r>
    </w:p>
    <w:p w:rsidR="009D28FF" w:rsidRPr="00332FD2" w:rsidRDefault="009D28FF" w:rsidP="009D28FF">
      <w:pPr>
        <w:ind w:left="140" w:hangingChars="50" w:hanging="140"/>
        <w:rPr>
          <w:sz w:val="28"/>
          <w:szCs w:val="28"/>
        </w:rPr>
      </w:pPr>
      <w:r w:rsidRPr="00332FD2">
        <w:rPr>
          <w:rFonts w:hint="eastAsia"/>
          <w:sz w:val="28"/>
          <w:szCs w:val="28"/>
        </w:rPr>
        <w:t xml:space="preserve">     </w:t>
      </w:r>
      <w:r w:rsidRPr="00332FD2">
        <w:rPr>
          <w:rFonts w:hint="eastAsia"/>
          <w:sz w:val="28"/>
          <w:szCs w:val="28"/>
        </w:rPr>
        <w:t>今年中国经济开局不错，继续保持了稳定增长，但中美贸易摩擦的阴影，有可能使进出口回落，进一步扩大开放会抵消其一部分影响，防范金融风险，稳定经济的工作还会加力，发展网络数字经济也会加码，现有增长趋势有可能继续。</w:t>
      </w:r>
    </w:p>
    <w:p w:rsidR="009D28FF" w:rsidRPr="00332FD2" w:rsidRDefault="009D28FF" w:rsidP="009D28FF">
      <w:pPr>
        <w:ind w:firstLine="540"/>
        <w:rPr>
          <w:sz w:val="28"/>
          <w:szCs w:val="28"/>
        </w:rPr>
      </w:pPr>
      <w:r w:rsidRPr="00332FD2">
        <w:rPr>
          <w:rFonts w:hint="eastAsia"/>
          <w:sz w:val="28"/>
          <w:szCs w:val="28"/>
        </w:rPr>
        <w:t>据此，对今年上半年和全年的经济预判如下。</w:t>
      </w:r>
    </w:p>
    <w:p w:rsidR="009D28FF" w:rsidRPr="00332FD2" w:rsidRDefault="009D28FF" w:rsidP="009D28FF">
      <w:pPr>
        <w:ind w:firstLine="540"/>
        <w:rPr>
          <w:sz w:val="28"/>
          <w:szCs w:val="28"/>
        </w:rPr>
      </w:pPr>
      <w:r w:rsidRPr="00332FD2">
        <w:rPr>
          <w:rFonts w:hint="eastAsia"/>
          <w:sz w:val="28"/>
          <w:szCs w:val="28"/>
        </w:rPr>
        <w:t>据此，我们对中国</w:t>
      </w:r>
      <w:r w:rsidRPr="00332FD2">
        <w:rPr>
          <w:rFonts w:hint="eastAsia"/>
          <w:sz w:val="28"/>
          <w:szCs w:val="28"/>
        </w:rPr>
        <w:t>2018</w:t>
      </w:r>
      <w:r w:rsidRPr="00332FD2">
        <w:rPr>
          <w:rFonts w:hint="eastAsia"/>
          <w:sz w:val="28"/>
          <w:szCs w:val="28"/>
        </w:rPr>
        <w:t>年第</w:t>
      </w:r>
      <w:r w:rsidRPr="00332FD2">
        <w:rPr>
          <w:rFonts w:hint="eastAsia"/>
          <w:sz w:val="28"/>
          <w:szCs w:val="28"/>
        </w:rPr>
        <w:t>1</w:t>
      </w:r>
      <w:r w:rsidRPr="00332FD2">
        <w:rPr>
          <w:rFonts w:hint="eastAsia"/>
          <w:sz w:val="28"/>
          <w:szCs w:val="28"/>
        </w:rPr>
        <w:t>季度和全年的经济增长预测如下</w:t>
      </w:r>
      <w:r w:rsidRPr="00332FD2">
        <w:rPr>
          <w:rFonts w:hint="eastAsia"/>
          <w:sz w:val="28"/>
          <w:szCs w:val="28"/>
        </w:rPr>
        <w:t>:</w:t>
      </w:r>
    </w:p>
    <w:tbl>
      <w:tblPr>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40"/>
        <w:gridCol w:w="1620"/>
        <w:gridCol w:w="1620"/>
        <w:gridCol w:w="1440"/>
      </w:tblGrid>
      <w:tr w:rsidR="009D28FF" w:rsidRPr="00332FD2" w:rsidTr="00921CF7">
        <w:trPr>
          <w:cantSplit/>
          <w:trHeight w:val="463"/>
        </w:trPr>
        <w:tc>
          <w:tcPr>
            <w:tcW w:w="1980" w:type="dxa"/>
            <w:vMerge w:val="restart"/>
            <w:tcBorders>
              <w:tl2br w:val="single" w:sz="4" w:space="0" w:color="auto"/>
            </w:tcBorders>
          </w:tcPr>
          <w:p w:rsidR="009D28FF" w:rsidRPr="00332FD2" w:rsidRDefault="009D28FF" w:rsidP="00921CF7">
            <w:pPr>
              <w:spacing w:line="360" w:lineRule="auto"/>
              <w:rPr>
                <w:rFonts w:ascii="宋体" w:hAnsi="宋体"/>
                <w:sz w:val="28"/>
                <w:szCs w:val="28"/>
              </w:rPr>
            </w:pPr>
            <w:r w:rsidRPr="00332FD2">
              <w:rPr>
                <w:rFonts w:ascii="宋体" w:hAnsi="宋体" w:hint="eastAsia"/>
                <w:sz w:val="28"/>
                <w:szCs w:val="28"/>
              </w:rPr>
              <w:t xml:space="preserve">      季度</w:t>
            </w:r>
          </w:p>
          <w:p w:rsidR="009D28FF" w:rsidRPr="00332FD2" w:rsidRDefault="009D28FF" w:rsidP="00921CF7">
            <w:pPr>
              <w:spacing w:line="360" w:lineRule="auto"/>
              <w:rPr>
                <w:rFonts w:ascii="宋体" w:hAnsi="宋体"/>
                <w:sz w:val="28"/>
                <w:szCs w:val="28"/>
              </w:rPr>
            </w:pPr>
          </w:p>
          <w:p w:rsidR="009D28FF" w:rsidRPr="00332FD2" w:rsidRDefault="009D28FF" w:rsidP="00921CF7">
            <w:pPr>
              <w:spacing w:line="360" w:lineRule="auto"/>
              <w:rPr>
                <w:rFonts w:ascii="宋体" w:hAnsi="宋体"/>
                <w:sz w:val="28"/>
                <w:szCs w:val="28"/>
              </w:rPr>
            </w:pPr>
            <w:r w:rsidRPr="00332FD2">
              <w:rPr>
                <w:rFonts w:ascii="宋体" w:hAnsi="宋体" w:hint="eastAsia"/>
                <w:sz w:val="28"/>
                <w:szCs w:val="28"/>
              </w:rPr>
              <w:t>经济指标</w:t>
            </w:r>
          </w:p>
        </w:tc>
        <w:tc>
          <w:tcPr>
            <w:tcW w:w="1440" w:type="dxa"/>
          </w:tcPr>
          <w:p w:rsidR="009D28FF" w:rsidRPr="00332FD2" w:rsidRDefault="009D28FF" w:rsidP="00921CF7">
            <w:pPr>
              <w:spacing w:line="360" w:lineRule="auto"/>
              <w:jc w:val="center"/>
              <w:rPr>
                <w:rFonts w:ascii="宋体" w:hAnsi="宋体"/>
                <w:sz w:val="28"/>
                <w:szCs w:val="28"/>
              </w:rPr>
            </w:pPr>
            <w:r w:rsidRPr="00332FD2">
              <w:rPr>
                <w:rFonts w:ascii="宋体" w:hAnsi="宋体" w:hint="eastAsia"/>
                <w:sz w:val="28"/>
                <w:szCs w:val="28"/>
              </w:rPr>
              <w:t>2017年全年（实际）</w:t>
            </w:r>
          </w:p>
        </w:tc>
        <w:tc>
          <w:tcPr>
            <w:tcW w:w="1620" w:type="dxa"/>
          </w:tcPr>
          <w:p w:rsidR="009D28FF" w:rsidRPr="00332FD2" w:rsidRDefault="009D28FF" w:rsidP="00921CF7">
            <w:pPr>
              <w:spacing w:line="360" w:lineRule="auto"/>
              <w:jc w:val="center"/>
              <w:rPr>
                <w:rFonts w:ascii="宋体" w:hAnsi="宋体"/>
                <w:sz w:val="28"/>
                <w:szCs w:val="28"/>
              </w:rPr>
            </w:pPr>
            <w:r w:rsidRPr="00332FD2">
              <w:rPr>
                <w:rFonts w:ascii="宋体" w:hAnsi="宋体" w:hint="eastAsia"/>
                <w:sz w:val="28"/>
                <w:szCs w:val="28"/>
              </w:rPr>
              <w:t>2018年第1季（实际）</w:t>
            </w:r>
          </w:p>
        </w:tc>
        <w:tc>
          <w:tcPr>
            <w:tcW w:w="1620" w:type="dxa"/>
          </w:tcPr>
          <w:p w:rsidR="009D28FF" w:rsidRPr="00332FD2" w:rsidRDefault="009D28FF" w:rsidP="00921CF7">
            <w:pPr>
              <w:spacing w:line="360" w:lineRule="auto"/>
              <w:jc w:val="center"/>
              <w:rPr>
                <w:rFonts w:ascii="宋体" w:hAnsi="宋体"/>
                <w:sz w:val="28"/>
                <w:szCs w:val="28"/>
              </w:rPr>
            </w:pPr>
            <w:r w:rsidRPr="00332FD2">
              <w:rPr>
                <w:rFonts w:ascii="宋体" w:hAnsi="宋体" w:hint="eastAsia"/>
                <w:sz w:val="28"/>
                <w:szCs w:val="28"/>
              </w:rPr>
              <w:t>2018年2季度（预测）</w:t>
            </w:r>
          </w:p>
        </w:tc>
        <w:tc>
          <w:tcPr>
            <w:tcW w:w="1440" w:type="dxa"/>
          </w:tcPr>
          <w:p w:rsidR="009D28FF" w:rsidRPr="00332FD2" w:rsidRDefault="009D28FF" w:rsidP="00921CF7">
            <w:pPr>
              <w:spacing w:line="360" w:lineRule="auto"/>
              <w:jc w:val="center"/>
              <w:rPr>
                <w:rFonts w:ascii="宋体" w:hAnsi="宋体"/>
                <w:sz w:val="28"/>
                <w:szCs w:val="28"/>
              </w:rPr>
            </w:pPr>
            <w:r w:rsidRPr="00332FD2">
              <w:rPr>
                <w:rFonts w:ascii="宋体" w:hAnsi="宋体" w:hint="eastAsia"/>
                <w:sz w:val="28"/>
                <w:szCs w:val="28"/>
              </w:rPr>
              <w:t>2018年全年（预测）</w:t>
            </w:r>
          </w:p>
        </w:tc>
      </w:tr>
      <w:tr w:rsidR="009D28FF" w:rsidRPr="00332FD2" w:rsidTr="00921CF7">
        <w:trPr>
          <w:cantSplit/>
          <w:trHeight w:val="285"/>
        </w:trPr>
        <w:tc>
          <w:tcPr>
            <w:tcW w:w="1980" w:type="dxa"/>
            <w:vMerge/>
          </w:tcPr>
          <w:p w:rsidR="009D28FF" w:rsidRPr="00332FD2" w:rsidRDefault="009D28FF" w:rsidP="00921CF7">
            <w:pPr>
              <w:spacing w:line="360" w:lineRule="auto"/>
              <w:rPr>
                <w:rFonts w:ascii="宋体" w:hAnsi="宋体"/>
                <w:sz w:val="28"/>
                <w:szCs w:val="28"/>
              </w:rPr>
            </w:pPr>
          </w:p>
        </w:tc>
        <w:tc>
          <w:tcPr>
            <w:tcW w:w="1440" w:type="dxa"/>
          </w:tcPr>
          <w:p w:rsidR="009D28FF" w:rsidRPr="00332FD2" w:rsidRDefault="009D28FF" w:rsidP="00921CF7">
            <w:pPr>
              <w:spacing w:line="360" w:lineRule="auto"/>
              <w:jc w:val="center"/>
              <w:rPr>
                <w:rFonts w:ascii="宋体" w:hAnsi="宋体"/>
                <w:sz w:val="28"/>
                <w:szCs w:val="28"/>
              </w:rPr>
            </w:pPr>
            <w:r w:rsidRPr="00332FD2">
              <w:rPr>
                <w:rFonts w:ascii="宋体" w:hAnsi="宋体" w:hint="eastAsia"/>
                <w:sz w:val="28"/>
                <w:szCs w:val="28"/>
              </w:rPr>
              <w:t>增长（%）</w:t>
            </w:r>
          </w:p>
        </w:tc>
        <w:tc>
          <w:tcPr>
            <w:tcW w:w="1620" w:type="dxa"/>
          </w:tcPr>
          <w:p w:rsidR="009D28FF" w:rsidRPr="00332FD2" w:rsidRDefault="009D28FF" w:rsidP="00921CF7">
            <w:pPr>
              <w:spacing w:line="360" w:lineRule="auto"/>
              <w:jc w:val="center"/>
              <w:rPr>
                <w:rFonts w:ascii="宋体" w:hAnsi="宋体"/>
                <w:sz w:val="28"/>
                <w:szCs w:val="28"/>
              </w:rPr>
            </w:pPr>
            <w:r w:rsidRPr="00332FD2">
              <w:rPr>
                <w:rFonts w:ascii="宋体" w:hAnsi="宋体" w:hint="eastAsia"/>
                <w:sz w:val="28"/>
                <w:szCs w:val="28"/>
              </w:rPr>
              <w:t>增长（%）</w:t>
            </w:r>
          </w:p>
        </w:tc>
        <w:tc>
          <w:tcPr>
            <w:tcW w:w="1620" w:type="dxa"/>
          </w:tcPr>
          <w:p w:rsidR="009D28FF" w:rsidRPr="00332FD2" w:rsidRDefault="009D28FF" w:rsidP="00921CF7">
            <w:pPr>
              <w:spacing w:line="360" w:lineRule="auto"/>
              <w:jc w:val="center"/>
              <w:rPr>
                <w:rFonts w:ascii="宋体" w:hAnsi="宋体"/>
                <w:sz w:val="28"/>
                <w:szCs w:val="28"/>
              </w:rPr>
            </w:pPr>
            <w:r w:rsidRPr="00332FD2">
              <w:rPr>
                <w:rFonts w:ascii="宋体" w:hAnsi="宋体" w:hint="eastAsia"/>
                <w:sz w:val="28"/>
                <w:szCs w:val="28"/>
              </w:rPr>
              <w:t>增长（%）</w:t>
            </w:r>
          </w:p>
        </w:tc>
        <w:tc>
          <w:tcPr>
            <w:tcW w:w="1440" w:type="dxa"/>
          </w:tcPr>
          <w:p w:rsidR="009D28FF" w:rsidRPr="00332FD2" w:rsidRDefault="009D28FF" w:rsidP="00921CF7">
            <w:pPr>
              <w:spacing w:line="360" w:lineRule="auto"/>
              <w:jc w:val="center"/>
              <w:rPr>
                <w:rFonts w:ascii="宋体" w:hAnsi="宋体"/>
                <w:sz w:val="28"/>
                <w:szCs w:val="28"/>
              </w:rPr>
            </w:pPr>
            <w:r w:rsidRPr="00332FD2">
              <w:rPr>
                <w:rFonts w:ascii="宋体" w:hAnsi="宋体" w:hint="eastAsia"/>
                <w:sz w:val="28"/>
                <w:szCs w:val="28"/>
              </w:rPr>
              <w:t>增长（%）</w:t>
            </w:r>
          </w:p>
        </w:tc>
      </w:tr>
      <w:tr w:rsidR="009D28FF" w:rsidRPr="00332FD2" w:rsidTr="00921CF7">
        <w:trPr>
          <w:cantSplit/>
          <w:trHeight w:val="493"/>
        </w:trPr>
        <w:tc>
          <w:tcPr>
            <w:tcW w:w="1980" w:type="dxa"/>
          </w:tcPr>
          <w:p w:rsidR="009D28FF" w:rsidRPr="00332FD2" w:rsidRDefault="009D28FF" w:rsidP="00921CF7">
            <w:pPr>
              <w:spacing w:line="360" w:lineRule="auto"/>
              <w:jc w:val="center"/>
              <w:rPr>
                <w:rFonts w:ascii="宋体" w:hAnsi="宋体"/>
                <w:sz w:val="28"/>
                <w:szCs w:val="28"/>
              </w:rPr>
            </w:pPr>
            <w:r w:rsidRPr="00332FD2">
              <w:rPr>
                <w:rFonts w:ascii="宋体" w:hAnsi="宋体"/>
                <w:sz w:val="28"/>
                <w:szCs w:val="28"/>
              </w:rPr>
              <w:t>GDP</w:t>
            </w:r>
          </w:p>
        </w:tc>
        <w:tc>
          <w:tcPr>
            <w:tcW w:w="144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6.9</w:t>
            </w:r>
          </w:p>
        </w:tc>
        <w:tc>
          <w:tcPr>
            <w:tcW w:w="162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6.8</w:t>
            </w:r>
          </w:p>
        </w:tc>
        <w:tc>
          <w:tcPr>
            <w:tcW w:w="162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6.6</w:t>
            </w:r>
          </w:p>
        </w:tc>
        <w:tc>
          <w:tcPr>
            <w:tcW w:w="144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6.5</w:t>
            </w:r>
          </w:p>
        </w:tc>
      </w:tr>
      <w:tr w:rsidR="009D28FF" w:rsidRPr="00332FD2" w:rsidTr="00921CF7">
        <w:trPr>
          <w:cantSplit/>
          <w:trHeight w:val="457"/>
        </w:trPr>
        <w:tc>
          <w:tcPr>
            <w:tcW w:w="1980" w:type="dxa"/>
          </w:tcPr>
          <w:p w:rsidR="009D28FF" w:rsidRPr="00332FD2" w:rsidRDefault="009D28FF" w:rsidP="00921CF7">
            <w:pPr>
              <w:spacing w:line="360" w:lineRule="auto"/>
              <w:jc w:val="center"/>
              <w:rPr>
                <w:rFonts w:ascii="宋体" w:hAnsi="宋体"/>
                <w:sz w:val="28"/>
                <w:szCs w:val="28"/>
              </w:rPr>
            </w:pPr>
            <w:r w:rsidRPr="00332FD2">
              <w:rPr>
                <w:rFonts w:ascii="宋体" w:hAnsi="宋体" w:hint="eastAsia"/>
                <w:sz w:val="28"/>
                <w:szCs w:val="28"/>
              </w:rPr>
              <w:t>工业增加值</w:t>
            </w:r>
          </w:p>
        </w:tc>
        <w:tc>
          <w:tcPr>
            <w:tcW w:w="144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6.6</w:t>
            </w:r>
          </w:p>
        </w:tc>
        <w:tc>
          <w:tcPr>
            <w:tcW w:w="162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6.8</w:t>
            </w:r>
          </w:p>
        </w:tc>
        <w:tc>
          <w:tcPr>
            <w:tcW w:w="162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6.5</w:t>
            </w:r>
          </w:p>
        </w:tc>
        <w:tc>
          <w:tcPr>
            <w:tcW w:w="144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6.6</w:t>
            </w:r>
          </w:p>
        </w:tc>
      </w:tr>
      <w:tr w:rsidR="009D28FF" w:rsidRPr="00332FD2" w:rsidTr="00921CF7">
        <w:trPr>
          <w:cantSplit/>
          <w:trHeight w:val="462"/>
        </w:trPr>
        <w:tc>
          <w:tcPr>
            <w:tcW w:w="1980" w:type="dxa"/>
          </w:tcPr>
          <w:p w:rsidR="009D28FF" w:rsidRPr="00332FD2" w:rsidRDefault="009D28FF" w:rsidP="00921CF7">
            <w:pPr>
              <w:spacing w:line="360" w:lineRule="auto"/>
              <w:jc w:val="center"/>
              <w:rPr>
                <w:rFonts w:ascii="宋体" w:hAnsi="宋体"/>
                <w:sz w:val="28"/>
                <w:szCs w:val="28"/>
              </w:rPr>
            </w:pPr>
            <w:r w:rsidRPr="00332FD2">
              <w:rPr>
                <w:rFonts w:ascii="宋体" w:hAnsi="宋体" w:hint="eastAsia"/>
                <w:sz w:val="28"/>
                <w:szCs w:val="28"/>
              </w:rPr>
              <w:t>固定资产投资</w:t>
            </w:r>
          </w:p>
        </w:tc>
        <w:tc>
          <w:tcPr>
            <w:tcW w:w="144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7.2</w:t>
            </w:r>
          </w:p>
        </w:tc>
        <w:tc>
          <w:tcPr>
            <w:tcW w:w="162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7.5</w:t>
            </w:r>
          </w:p>
        </w:tc>
        <w:tc>
          <w:tcPr>
            <w:tcW w:w="162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7.0</w:t>
            </w:r>
          </w:p>
        </w:tc>
        <w:tc>
          <w:tcPr>
            <w:tcW w:w="144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7.0</w:t>
            </w:r>
          </w:p>
        </w:tc>
      </w:tr>
      <w:tr w:rsidR="009D28FF" w:rsidRPr="00332FD2" w:rsidTr="00921CF7">
        <w:trPr>
          <w:cantSplit/>
          <w:trHeight w:val="457"/>
        </w:trPr>
        <w:tc>
          <w:tcPr>
            <w:tcW w:w="1980" w:type="dxa"/>
          </w:tcPr>
          <w:p w:rsidR="009D28FF" w:rsidRPr="00332FD2" w:rsidRDefault="009D28FF" w:rsidP="00921CF7">
            <w:pPr>
              <w:spacing w:line="360" w:lineRule="auto"/>
              <w:jc w:val="center"/>
              <w:rPr>
                <w:rFonts w:ascii="宋体" w:hAnsi="宋体"/>
                <w:sz w:val="28"/>
                <w:szCs w:val="28"/>
              </w:rPr>
            </w:pPr>
            <w:r w:rsidRPr="00332FD2">
              <w:rPr>
                <w:rFonts w:ascii="宋体" w:hAnsi="宋体" w:hint="eastAsia"/>
                <w:sz w:val="28"/>
                <w:szCs w:val="28"/>
              </w:rPr>
              <w:t>消费品零售额</w:t>
            </w:r>
          </w:p>
        </w:tc>
        <w:tc>
          <w:tcPr>
            <w:tcW w:w="144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10.2</w:t>
            </w:r>
          </w:p>
        </w:tc>
        <w:tc>
          <w:tcPr>
            <w:tcW w:w="162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9.8</w:t>
            </w:r>
          </w:p>
        </w:tc>
        <w:tc>
          <w:tcPr>
            <w:tcW w:w="162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10.0</w:t>
            </w:r>
          </w:p>
        </w:tc>
        <w:tc>
          <w:tcPr>
            <w:tcW w:w="144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10.1</w:t>
            </w:r>
          </w:p>
        </w:tc>
      </w:tr>
      <w:tr w:rsidR="009D28FF" w:rsidRPr="00332FD2" w:rsidTr="00921CF7">
        <w:trPr>
          <w:cantSplit/>
          <w:trHeight w:val="453"/>
        </w:trPr>
        <w:tc>
          <w:tcPr>
            <w:tcW w:w="1980" w:type="dxa"/>
          </w:tcPr>
          <w:p w:rsidR="009D28FF" w:rsidRPr="00332FD2" w:rsidRDefault="009D28FF" w:rsidP="00921CF7">
            <w:pPr>
              <w:spacing w:line="360" w:lineRule="auto"/>
              <w:jc w:val="center"/>
              <w:rPr>
                <w:rFonts w:ascii="宋体" w:hAnsi="宋体"/>
                <w:sz w:val="28"/>
                <w:szCs w:val="28"/>
              </w:rPr>
            </w:pPr>
            <w:r w:rsidRPr="00332FD2">
              <w:rPr>
                <w:rFonts w:ascii="宋体" w:hAnsi="宋体" w:hint="eastAsia"/>
                <w:sz w:val="28"/>
                <w:szCs w:val="28"/>
              </w:rPr>
              <w:t>出口</w:t>
            </w:r>
          </w:p>
        </w:tc>
        <w:tc>
          <w:tcPr>
            <w:tcW w:w="144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10.8</w:t>
            </w:r>
          </w:p>
        </w:tc>
        <w:tc>
          <w:tcPr>
            <w:tcW w:w="162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7.4</w:t>
            </w:r>
          </w:p>
        </w:tc>
        <w:tc>
          <w:tcPr>
            <w:tcW w:w="162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6.5</w:t>
            </w:r>
          </w:p>
        </w:tc>
        <w:tc>
          <w:tcPr>
            <w:tcW w:w="144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5.0</w:t>
            </w:r>
          </w:p>
        </w:tc>
      </w:tr>
      <w:tr w:rsidR="009D28FF" w:rsidRPr="00332FD2" w:rsidTr="00921CF7">
        <w:trPr>
          <w:cantSplit/>
          <w:trHeight w:val="459"/>
        </w:trPr>
        <w:tc>
          <w:tcPr>
            <w:tcW w:w="1980" w:type="dxa"/>
          </w:tcPr>
          <w:p w:rsidR="009D28FF" w:rsidRPr="00332FD2" w:rsidRDefault="009D28FF" w:rsidP="00921CF7">
            <w:pPr>
              <w:spacing w:line="360" w:lineRule="auto"/>
              <w:jc w:val="center"/>
              <w:rPr>
                <w:rFonts w:ascii="宋体" w:hAnsi="宋体"/>
                <w:sz w:val="28"/>
                <w:szCs w:val="28"/>
              </w:rPr>
            </w:pPr>
            <w:r w:rsidRPr="00332FD2">
              <w:rPr>
                <w:rFonts w:ascii="宋体" w:hAnsi="宋体" w:hint="eastAsia"/>
                <w:sz w:val="28"/>
                <w:szCs w:val="28"/>
              </w:rPr>
              <w:t>进口</w:t>
            </w:r>
          </w:p>
        </w:tc>
        <w:tc>
          <w:tcPr>
            <w:tcW w:w="144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18.7</w:t>
            </w:r>
          </w:p>
        </w:tc>
        <w:tc>
          <w:tcPr>
            <w:tcW w:w="162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11.7</w:t>
            </w:r>
          </w:p>
        </w:tc>
        <w:tc>
          <w:tcPr>
            <w:tcW w:w="162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12.0</w:t>
            </w:r>
          </w:p>
        </w:tc>
        <w:tc>
          <w:tcPr>
            <w:tcW w:w="144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12.5</w:t>
            </w:r>
          </w:p>
        </w:tc>
      </w:tr>
      <w:tr w:rsidR="009D28FF" w:rsidRPr="00332FD2" w:rsidTr="00921CF7">
        <w:trPr>
          <w:cantSplit/>
          <w:trHeight w:val="456"/>
        </w:trPr>
        <w:tc>
          <w:tcPr>
            <w:tcW w:w="1980" w:type="dxa"/>
          </w:tcPr>
          <w:p w:rsidR="009D28FF" w:rsidRPr="00332FD2" w:rsidRDefault="009D28FF" w:rsidP="00921CF7">
            <w:pPr>
              <w:spacing w:line="360" w:lineRule="auto"/>
              <w:jc w:val="center"/>
              <w:rPr>
                <w:rFonts w:ascii="宋体" w:hAnsi="宋体"/>
                <w:sz w:val="28"/>
                <w:szCs w:val="28"/>
              </w:rPr>
            </w:pPr>
            <w:r w:rsidRPr="00332FD2">
              <w:rPr>
                <w:rFonts w:ascii="宋体" w:hAnsi="宋体" w:hint="eastAsia"/>
                <w:sz w:val="28"/>
                <w:szCs w:val="28"/>
              </w:rPr>
              <w:lastRenderedPageBreak/>
              <w:t>消费物价</w:t>
            </w:r>
          </w:p>
        </w:tc>
        <w:tc>
          <w:tcPr>
            <w:tcW w:w="1440" w:type="dxa"/>
            <w:vAlign w:val="center"/>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1.6</w:t>
            </w:r>
          </w:p>
        </w:tc>
        <w:tc>
          <w:tcPr>
            <w:tcW w:w="162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2.1</w:t>
            </w:r>
          </w:p>
        </w:tc>
        <w:tc>
          <w:tcPr>
            <w:tcW w:w="162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2.3</w:t>
            </w:r>
          </w:p>
        </w:tc>
        <w:tc>
          <w:tcPr>
            <w:tcW w:w="1440" w:type="dxa"/>
          </w:tcPr>
          <w:p w:rsidR="009D28FF" w:rsidRPr="00332FD2" w:rsidRDefault="009D28FF" w:rsidP="00921CF7">
            <w:pPr>
              <w:spacing w:line="360" w:lineRule="auto"/>
              <w:jc w:val="center"/>
              <w:rPr>
                <w:rFonts w:ascii="宋体" w:hAnsi="宋体"/>
                <w:color w:val="000000"/>
                <w:sz w:val="28"/>
                <w:szCs w:val="28"/>
              </w:rPr>
            </w:pPr>
            <w:r w:rsidRPr="00332FD2">
              <w:rPr>
                <w:rFonts w:ascii="宋体" w:hAnsi="宋体" w:hint="eastAsia"/>
                <w:color w:val="000000"/>
                <w:sz w:val="28"/>
                <w:szCs w:val="28"/>
              </w:rPr>
              <w:t>2.4</w:t>
            </w:r>
          </w:p>
        </w:tc>
      </w:tr>
    </w:tbl>
    <w:p w:rsidR="009D28FF" w:rsidRPr="00332FD2" w:rsidRDefault="009D28FF" w:rsidP="009D28FF">
      <w:pPr>
        <w:spacing w:line="360" w:lineRule="auto"/>
        <w:ind w:firstLineChars="200" w:firstLine="560"/>
        <w:rPr>
          <w:rFonts w:ascii="宋体" w:hAnsi="宋体"/>
          <w:sz w:val="28"/>
          <w:szCs w:val="28"/>
        </w:rPr>
      </w:pPr>
      <w:r w:rsidRPr="00332FD2">
        <w:rPr>
          <w:rFonts w:ascii="宋体" w:hAnsi="宋体" w:hint="eastAsia"/>
          <w:sz w:val="28"/>
          <w:szCs w:val="28"/>
        </w:rPr>
        <w:t>注：</w:t>
      </w:r>
      <w:r w:rsidRPr="00332FD2">
        <w:rPr>
          <w:rFonts w:ascii="宋体" w:hAnsi="宋体"/>
          <w:sz w:val="28"/>
          <w:szCs w:val="28"/>
        </w:rPr>
        <w:t>1</w:t>
      </w:r>
      <w:r w:rsidRPr="00332FD2">
        <w:rPr>
          <w:rFonts w:ascii="宋体" w:hAnsi="宋体" w:hint="eastAsia"/>
          <w:sz w:val="28"/>
          <w:szCs w:val="28"/>
        </w:rPr>
        <w:t>.</w:t>
      </w:r>
      <w:r w:rsidRPr="00332FD2">
        <w:rPr>
          <w:rFonts w:ascii="宋体" w:hAnsi="宋体"/>
          <w:sz w:val="28"/>
          <w:szCs w:val="28"/>
        </w:rPr>
        <w:t>GDP</w:t>
      </w:r>
      <w:r w:rsidRPr="00332FD2">
        <w:rPr>
          <w:rFonts w:ascii="宋体" w:hAnsi="宋体" w:hint="eastAsia"/>
          <w:sz w:val="28"/>
          <w:szCs w:val="28"/>
        </w:rPr>
        <w:t>和工业增加值增长速度按可比价格计算，其余指标按现价计算；</w:t>
      </w:r>
    </w:p>
    <w:p w:rsidR="009D28FF" w:rsidRPr="00332FD2" w:rsidRDefault="009D28FF" w:rsidP="009D28FF">
      <w:pPr>
        <w:spacing w:line="360" w:lineRule="auto"/>
        <w:ind w:firstLineChars="400" w:firstLine="1120"/>
        <w:rPr>
          <w:rFonts w:ascii="宋体" w:hAnsi="宋体"/>
          <w:sz w:val="28"/>
          <w:szCs w:val="28"/>
        </w:rPr>
      </w:pPr>
      <w:r w:rsidRPr="00332FD2">
        <w:rPr>
          <w:rFonts w:ascii="宋体" w:hAnsi="宋体"/>
          <w:sz w:val="28"/>
          <w:szCs w:val="28"/>
        </w:rPr>
        <w:t>2</w:t>
      </w:r>
      <w:r w:rsidRPr="00332FD2">
        <w:rPr>
          <w:rFonts w:ascii="宋体" w:hAnsi="宋体" w:hint="eastAsia"/>
          <w:sz w:val="28"/>
          <w:szCs w:val="28"/>
        </w:rPr>
        <w:t>.固定资产投资指全社会固定资产投资；</w:t>
      </w:r>
    </w:p>
    <w:p w:rsidR="009D28FF" w:rsidRPr="00332FD2" w:rsidRDefault="009D28FF" w:rsidP="009D28FF">
      <w:pPr>
        <w:spacing w:line="360" w:lineRule="auto"/>
        <w:ind w:firstLineChars="400" w:firstLine="1120"/>
        <w:rPr>
          <w:rFonts w:ascii="宋体" w:hAnsi="宋体"/>
          <w:sz w:val="28"/>
          <w:szCs w:val="28"/>
        </w:rPr>
      </w:pPr>
      <w:r w:rsidRPr="00332FD2">
        <w:rPr>
          <w:rFonts w:ascii="宋体" w:hAnsi="宋体"/>
          <w:sz w:val="28"/>
          <w:szCs w:val="28"/>
        </w:rPr>
        <w:t>3</w:t>
      </w:r>
      <w:r w:rsidRPr="00332FD2">
        <w:rPr>
          <w:rFonts w:ascii="宋体" w:hAnsi="宋体" w:hint="eastAsia"/>
          <w:sz w:val="28"/>
          <w:szCs w:val="28"/>
        </w:rPr>
        <w:t>.工业增加值为国有企业和产品销售收入在</w:t>
      </w:r>
      <w:r w:rsidRPr="00332FD2">
        <w:rPr>
          <w:rFonts w:ascii="宋体" w:hAnsi="宋体"/>
          <w:sz w:val="28"/>
          <w:szCs w:val="28"/>
        </w:rPr>
        <w:t>500</w:t>
      </w:r>
      <w:r w:rsidRPr="00332FD2">
        <w:rPr>
          <w:rFonts w:ascii="宋体" w:hAnsi="宋体" w:hint="eastAsia"/>
          <w:sz w:val="28"/>
          <w:szCs w:val="28"/>
        </w:rPr>
        <w:t>万元以上的非国有企业的增加值。</w:t>
      </w:r>
    </w:p>
    <w:p w:rsidR="009D28FF" w:rsidRPr="00332FD2" w:rsidRDefault="009D28FF" w:rsidP="009D28FF">
      <w:pPr>
        <w:spacing w:line="360" w:lineRule="auto"/>
        <w:ind w:firstLineChars="400" w:firstLine="1120"/>
        <w:rPr>
          <w:rFonts w:ascii="宋体" w:hAnsi="宋体"/>
          <w:sz w:val="28"/>
          <w:szCs w:val="28"/>
        </w:rPr>
      </w:pPr>
    </w:p>
    <w:p w:rsidR="009D28FF" w:rsidRPr="00332FD2" w:rsidRDefault="009D28FF" w:rsidP="009D28FF">
      <w:pPr>
        <w:ind w:firstLine="570"/>
        <w:rPr>
          <w:sz w:val="28"/>
          <w:szCs w:val="28"/>
        </w:rPr>
      </w:pPr>
      <w:r w:rsidRPr="00332FD2">
        <w:rPr>
          <w:rFonts w:hint="eastAsia"/>
          <w:sz w:val="28"/>
          <w:szCs w:val="28"/>
        </w:rPr>
        <w:t xml:space="preserve">　　　　　　　　　　　张曙光（中国社会科学院经济所）</w:t>
      </w:r>
    </w:p>
    <w:p w:rsidR="009D28FF" w:rsidRPr="00332FD2" w:rsidRDefault="009D28FF" w:rsidP="009D28FF">
      <w:pPr>
        <w:ind w:firstLine="570"/>
        <w:rPr>
          <w:sz w:val="28"/>
          <w:szCs w:val="28"/>
        </w:rPr>
      </w:pPr>
      <w:r w:rsidRPr="00332FD2">
        <w:rPr>
          <w:rFonts w:hint="eastAsia"/>
          <w:sz w:val="28"/>
          <w:szCs w:val="28"/>
        </w:rPr>
        <w:t xml:space="preserve">　　　　　　　　　　　张　弛（中国政法大学商学院）</w:t>
      </w:r>
    </w:p>
    <w:p w:rsidR="009D28FF" w:rsidRPr="00332FD2" w:rsidRDefault="009D28FF" w:rsidP="009D28FF">
      <w:pPr>
        <w:ind w:firstLineChars="1650" w:firstLine="4620"/>
        <w:rPr>
          <w:sz w:val="28"/>
          <w:szCs w:val="28"/>
        </w:rPr>
      </w:pPr>
      <w:r w:rsidRPr="00332FD2">
        <w:rPr>
          <w:rFonts w:hint="eastAsia"/>
          <w:sz w:val="28"/>
          <w:szCs w:val="28"/>
        </w:rPr>
        <w:t>2018</w:t>
      </w:r>
      <w:r w:rsidRPr="00332FD2">
        <w:rPr>
          <w:rFonts w:hint="eastAsia"/>
          <w:sz w:val="28"/>
          <w:szCs w:val="28"/>
        </w:rPr>
        <w:t>－</w:t>
      </w:r>
      <w:r w:rsidRPr="00332FD2">
        <w:rPr>
          <w:rFonts w:hint="eastAsia"/>
          <w:sz w:val="28"/>
          <w:szCs w:val="28"/>
        </w:rPr>
        <w:t>04</w:t>
      </w:r>
      <w:r w:rsidRPr="00332FD2">
        <w:rPr>
          <w:rFonts w:hint="eastAsia"/>
          <w:sz w:val="28"/>
          <w:szCs w:val="28"/>
        </w:rPr>
        <w:t>－</w:t>
      </w:r>
      <w:r w:rsidRPr="00332FD2">
        <w:rPr>
          <w:rFonts w:hint="eastAsia"/>
          <w:sz w:val="28"/>
          <w:szCs w:val="28"/>
        </w:rPr>
        <w:t>23</w:t>
      </w:r>
      <w:r w:rsidRPr="00332FD2">
        <w:rPr>
          <w:rFonts w:hint="eastAsia"/>
          <w:sz w:val="28"/>
          <w:szCs w:val="28"/>
        </w:rPr>
        <w:t>，于北京</w:t>
      </w:r>
    </w:p>
    <w:p w:rsidR="009D28FF" w:rsidRPr="00332FD2" w:rsidRDefault="009D28FF" w:rsidP="009D28FF">
      <w:pPr>
        <w:ind w:firstLine="540"/>
        <w:rPr>
          <w:sz w:val="28"/>
          <w:szCs w:val="28"/>
        </w:rPr>
      </w:pPr>
    </w:p>
    <w:p w:rsidR="009D28FF" w:rsidRPr="00332FD2" w:rsidRDefault="009D28FF" w:rsidP="009D28FF">
      <w:pPr>
        <w:ind w:firstLine="540"/>
        <w:rPr>
          <w:sz w:val="28"/>
          <w:szCs w:val="28"/>
        </w:rPr>
      </w:pPr>
    </w:p>
    <w:p w:rsidR="009D28FF" w:rsidRPr="00332FD2" w:rsidRDefault="009D28FF" w:rsidP="009D28FF">
      <w:pPr>
        <w:rPr>
          <w:sz w:val="28"/>
          <w:szCs w:val="28"/>
        </w:rPr>
      </w:pPr>
    </w:p>
    <w:p w:rsidR="00D70EFA" w:rsidRPr="009D28FF" w:rsidRDefault="00D70EFA" w:rsidP="009D28FF">
      <w:pPr>
        <w:rPr>
          <w:szCs w:val="28"/>
        </w:rPr>
      </w:pPr>
    </w:p>
    <w:sectPr w:rsidR="00D70EFA" w:rsidRPr="009D28FF" w:rsidSect="0049566D">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240" w:rsidRDefault="00FD7240" w:rsidP="00C92042">
      <w:r>
        <w:separator/>
      </w:r>
    </w:p>
  </w:endnote>
  <w:endnote w:type="continuationSeparator" w:id="0">
    <w:p w:rsidR="00FD7240" w:rsidRDefault="00FD7240" w:rsidP="00C9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99665"/>
      <w:docPartObj>
        <w:docPartGallery w:val="Page Numbers (Bottom of Page)"/>
        <w:docPartUnique/>
      </w:docPartObj>
    </w:sdtPr>
    <w:sdtEndPr/>
    <w:sdtContent>
      <w:sdt>
        <w:sdtPr>
          <w:id w:val="98381352"/>
          <w:docPartObj>
            <w:docPartGallery w:val="Page Numbers (Top of Page)"/>
            <w:docPartUnique/>
          </w:docPartObj>
        </w:sdtPr>
        <w:sdtEndPr/>
        <w:sdtContent>
          <w:p w:rsidR="00B67331" w:rsidRDefault="00B67331">
            <w:pPr>
              <w:pStyle w:val="a5"/>
            </w:pPr>
            <w:r>
              <w:rPr>
                <w:lang w:val="zh-CN"/>
              </w:rPr>
              <w:t xml:space="preserve"> </w:t>
            </w:r>
            <w:r w:rsidR="002E06BB">
              <w:rPr>
                <w:b/>
                <w:sz w:val="24"/>
                <w:szCs w:val="24"/>
              </w:rPr>
              <w:fldChar w:fldCharType="begin"/>
            </w:r>
            <w:r>
              <w:rPr>
                <w:b/>
              </w:rPr>
              <w:instrText>PAGE</w:instrText>
            </w:r>
            <w:r w:rsidR="002E06BB">
              <w:rPr>
                <w:b/>
                <w:sz w:val="24"/>
                <w:szCs w:val="24"/>
              </w:rPr>
              <w:fldChar w:fldCharType="separate"/>
            </w:r>
            <w:r w:rsidR="006E1C5C">
              <w:rPr>
                <w:b/>
                <w:noProof/>
              </w:rPr>
              <w:t>21</w:t>
            </w:r>
            <w:r w:rsidR="002E06BB">
              <w:rPr>
                <w:b/>
                <w:sz w:val="24"/>
                <w:szCs w:val="24"/>
              </w:rPr>
              <w:fldChar w:fldCharType="end"/>
            </w:r>
            <w:r>
              <w:rPr>
                <w:lang w:val="zh-CN"/>
              </w:rPr>
              <w:t xml:space="preserve"> / </w:t>
            </w:r>
            <w:r w:rsidR="002E06BB">
              <w:rPr>
                <w:b/>
                <w:sz w:val="24"/>
                <w:szCs w:val="24"/>
              </w:rPr>
              <w:fldChar w:fldCharType="begin"/>
            </w:r>
            <w:r>
              <w:rPr>
                <w:b/>
              </w:rPr>
              <w:instrText>NUMPAGES</w:instrText>
            </w:r>
            <w:r w:rsidR="002E06BB">
              <w:rPr>
                <w:b/>
                <w:sz w:val="24"/>
                <w:szCs w:val="24"/>
              </w:rPr>
              <w:fldChar w:fldCharType="separate"/>
            </w:r>
            <w:r w:rsidR="006E1C5C">
              <w:rPr>
                <w:b/>
                <w:noProof/>
              </w:rPr>
              <w:t>30</w:t>
            </w:r>
            <w:r w:rsidR="002E06BB">
              <w:rPr>
                <w:b/>
                <w:sz w:val="24"/>
                <w:szCs w:val="24"/>
              </w:rPr>
              <w:fldChar w:fldCharType="end"/>
            </w:r>
          </w:p>
        </w:sdtContent>
      </w:sdt>
    </w:sdtContent>
  </w:sdt>
  <w:p w:rsidR="00B67331" w:rsidRDefault="00B673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240" w:rsidRDefault="00FD7240" w:rsidP="00C92042">
      <w:r>
        <w:separator/>
      </w:r>
    </w:p>
  </w:footnote>
  <w:footnote w:type="continuationSeparator" w:id="0">
    <w:p w:rsidR="00FD7240" w:rsidRDefault="00FD7240" w:rsidP="00C92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85CB3"/>
    <w:multiLevelType w:val="hybridMultilevel"/>
    <w:tmpl w:val="4AF4F484"/>
    <w:lvl w:ilvl="0" w:tplc="61127F0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0AB7892"/>
    <w:multiLevelType w:val="hybridMultilevel"/>
    <w:tmpl w:val="52A01F8E"/>
    <w:lvl w:ilvl="0" w:tplc="00EA51F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602E57"/>
    <w:multiLevelType w:val="hybridMultilevel"/>
    <w:tmpl w:val="B19AD53A"/>
    <w:lvl w:ilvl="0" w:tplc="4514955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42"/>
    <w:rsid w:val="00005948"/>
    <w:rsid w:val="00013085"/>
    <w:rsid w:val="0002032D"/>
    <w:rsid w:val="000408B0"/>
    <w:rsid w:val="00045927"/>
    <w:rsid w:val="00065A99"/>
    <w:rsid w:val="000929FA"/>
    <w:rsid w:val="000A74D7"/>
    <w:rsid w:val="000B1DE5"/>
    <w:rsid w:val="000D76BC"/>
    <w:rsid w:val="000F67FB"/>
    <w:rsid w:val="00105847"/>
    <w:rsid w:val="0012330C"/>
    <w:rsid w:val="00123577"/>
    <w:rsid w:val="001312C5"/>
    <w:rsid w:val="00160B23"/>
    <w:rsid w:val="00162F0C"/>
    <w:rsid w:val="001647A9"/>
    <w:rsid w:val="0017702F"/>
    <w:rsid w:val="00180FA8"/>
    <w:rsid w:val="0019119F"/>
    <w:rsid w:val="001D5446"/>
    <w:rsid w:val="001E15D4"/>
    <w:rsid w:val="00215A83"/>
    <w:rsid w:val="00252202"/>
    <w:rsid w:val="00257461"/>
    <w:rsid w:val="002765A7"/>
    <w:rsid w:val="002A7A4C"/>
    <w:rsid w:val="002B0DC4"/>
    <w:rsid w:val="002E06BB"/>
    <w:rsid w:val="002E0B0B"/>
    <w:rsid w:val="002E2E73"/>
    <w:rsid w:val="002E4384"/>
    <w:rsid w:val="0030620B"/>
    <w:rsid w:val="00314635"/>
    <w:rsid w:val="00352F71"/>
    <w:rsid w:val="003542EE"/>
    <w:rsid w:val="00355CBC"/>
    <w:rsid w:val="0035691E"/>
    <w:rsid w:val="00362751"/>
    <w:rsid w:val="003762AD"/>
    <w:rsid w:val="003D334C"/>
    <w:rsid w:val="003E0252"/>
    <w:rsid w:val="003F74D5"/>
    <w:rsid w:val="00444335"/>
    <w:rsid w:val="00451163"/>
    <w:rsid w:val="00455DD9"/>
    <w:rsid w:val="00463BD6"/>
    <w:rsid w:val="00463DC2"/>
    <w:rsid w:val="0049566D"/>
    <w:rsid w:val="004A4AD0"/>
    <w:rsid w:val="004F0942"/>
    <w:rsid w:val="004F0ECE"/>
    <w:rsid w:val="00505B0A"/>
    <w:rsid w:val="00506480"/>
    <w:rsid w:val="00512E02"/>
    <w:rsid w:val="00540260"/>
    <w:rsid w:val="00542DCA"/>
    <w:rsid w:val="005472C2"/>
    <w:rsid w:val="005521BF"/>
    <w:rsid w:val="00556040"/>
    <w:rsid w:val="00573FE6"/>
    <w:rsid w:val="00590317"/>
    <w:rsid w:val="005B775D"/>
    <w:rsid w:val="005F75CE"/>
    <w:rsid w:val="00600481"/>
    <w:rsid w:val="006015DC"/>
    <w:rsid w:val="00633D26"/>
    <w:rsid w:val="0064380F"/>
    <w:rsid w:val="00651B24"/>
    <w:rsid w:val="0065788E"/>
    <w:rsid w:val="00657BAB"/>
    <w:rsid w:val="00661D98"/>
    <w:rsid w:val="00687066"/>
    <w:rsid w:val="006E1C5C"/>
    <w:rsid w:val="007470F0"/>
    <w:rsid w:val="0076012B"/>
    <w:rsid w:val="00766AFC"/>
    <w:rsid w:val="00775E81"/>
    <w:rsid w:val="00780965"/>
    <w:rsid w:val="007A353C"/>
    <w:rsid w:val="007A575D"/>
    <w:rsid w:val="007A5799"/>
    <w:rsid w:val="007C5614"/>
    <w:rsid w:val="007D4969"/>
    <w:rsid w:val="007D4B24"/>
    <w:rsid w:val="007E4667"/>
    <w:rsid w:val="007E75E1"/>
    <w:rsid w:val="008100AE"/>
    <w:rsid w:val="00860715"/>
    <w:rsid w:val="008635CA"/>
    <w:rsid w:val="008923BD"/>
    <w:rsid w:val="00897D65"/>
    <w:rsid w:val="008A2716"/>
    <w:rsid w:val="008A7591"/>
    <w:rsid w:val="008B34EF"/>
    <w:rsid w:val="008C4F6A"/>
    <w:rsid w:val="008D1733"/>
    <w:rsid w:val="008E101B"/>
    <w:rsid w:val="008F0D26"/>
    <w:rsid w:val="008F5528"/>
    <w:rsid w:val="00920C1C"/>
    <w:rsid w:val="00925DBC"/>
    <w:rsid w:val="00943F2F"/>
    <w:rsid w:val="00952A7D"/>
    <w:rsid w:val="009534B0"/>
    <w:rsid w:val="0096415A"/>
    <w:rsid w:val="009811B0"/>
    <w:rsid w:val="0099598A"/>
    <w:rsid w:val="009C33DD"/>
    <w:rsid w:val="009C3875"/>
    <w:rsid w:val="009D28FF"/>
    <w:rsid w:val="009F0334"/>
    <w:rsid w:val="00A0184A"/>
    <w:rsid w:val="00A230B0"/>
    <w:rsid w:val="00A42070"/>
    <w:rsid w:val="00A7381A"/>
    <w:rsid w:val="00A775E0"/>
    <w:rsid w:val="00A84B2E"/>
    <w:rsid w:val="00AC307F"/>
    <w:rsid w:val="00AD6602"/>
    <w:rsid w:val="00B000DE"/>
    <w:rsid w:val="00B05D16"/>
    <w:rsid w:val="00B1659F"/>
    <w:rsid w:val="00B31FF6"/>
    <w:rsid w:val="00B5036C"/>
    <w:rsid w:val="00B637FA"/>
    <w:rsid w:val="00B67331"/>
    <w:rsid w:val="00B958B6"/>
    <w:rsid w:val="00BA0055"/>
    <w:rsid w:val="00BA09AD"/>
    <w:rsid w:val="00BB5338"/>
    <w:rsid w:val="00BB5C0B"/>
    <w:rsid w:val="00BD5B84"/>
    <w:rsid w:val="00BF6064"/>
    <w:rsid w:val="00C212B2"/>
    <w:rsid w:val="00C27106"/>
    <w:rsid w:val="00C3648B"/>
    <w:rsid w:val="00C37E98"/>
    <w:rsid w:val="00C40D80"/>
    <w:rsid w:val="00C65110"/>
    <w:rsid w:val="00C92042"/>
    <w:rsid w:val="00CA1808"/>
    <w:rsid w:val="00CA6C4F"/>
    <w:rsid w:val="00CC6A66"/>
    <w:rsid w:val="00CD1226"/>
    <w:rsid w:val="00CE148A"/>
    <w:rsid w:val="00CF522B"/>
    <w:rsid w:val="00D17C4E"/>
    <w:rsid w:val="00D344D3"/>
    <w:rsid w:val="00D35E9E"/>
    <w:rsid w:val="00D461E5"/>
    <w:rsid w:val="00D476FD"/>
    <w:rsid w:val="00D54516"/>
    <w:rsid w:val="00D600F4"/>
    <w:rsid w:val="00D634C4"/>
    <w:rsid w:val="00D70EFA"/>
    <w:rsid w:val="00D91AA5"/>
    <w:rsid w:val="00DC74F2"/>
    <w:rsid w:val="00DC78ED"/>
    <w:rsid w:val="00DE5A04"/>
    <w:rsid w:val="00DF2089"/>
    <w:rsid w:val="00DF46C7"/>
    <w:rsid w:val="00E74B86"/>
    <w:rsid w:val="00EA5B06"/>
    <w:rsid w:val="00EE5AF2"/>
    <w:rsid w:val="00EF6175"/>
    <w:rsid w:val="00F76F48"/>
    <w:rsid w:val="00F94AA1"/>
    <w:rsid w:val="00FA2793"/>
    <w:rsid w:val="00FB7943"/>
    <w:rsid w:val="00FD4BAB"/>
    <w:rsid w:val="00FD6851"/>
    <w:rsid w:val="00FD7240"/>
    <w:rsid w:val="00FF1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CB2DFF0-83A8-F247-924E-CADA9D75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28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920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C92042"/>
    <w:rPr>
      <w:sz w:val="18"/>
      <w:szCs w:val="18"/>
    </w:rPr>
  </w:style>
  <w:style w:type="paragraph" w:styleId="a5">
    <w:name w:val="footer"/>
    <w:basedOn w:val="a"/>
    <w:link w:val="a6"/>
    <w:uiPriority w:val="99"/>
    <w:unhideWhenUsed/>
    <w:rsid w:val="00C92042"/>
    <w:pPr>
      <w:tabs>
        <w:tab w:val="center" w:pos="4153"/>
        <w:tab w:val="right" w:pos="8306"/>
      </w:tabs>
      <w:snapToGrid w:val="0"/>
      <w:jc w:val="left"/>
    </w:pPr>
    <w:rPr>
      <w:sz w:val="18"/>
      <w:szCs w:val="18"/>
    </w:rPr>
  </w:style>
  <w:style w:type="character" w:customStyle="1" w:styleId="a6">
    <w:name w:val="页脚 字符"/>
    <w:basedOn w:val="a0"/>
    <w:link w:val="a5"/>
    <w:uiPriority w:val="99"/>
    <w:rsid w:val="00C92042"/>
    <w:rPr>
      <w:sz w:val="18"/>
      <w:szCs w:val="18"/>
    </w:rPr>
  </w:style>
  <w:style w:type="paragraph" w:styleId="a7">
    <w:name w:val="List Paragraph"/>
    <w:basedOn w:val="a"/>
    <w:uiPriority w:val="34"/>
    <w:qFormat/>
    <w:rsid w:val="002A7A4C"/>
    <w:pPr>
      <w:ind w:firstLineChars="200" w:firstLine="420"/>
    </w:pPr>
  </w:style>
  <w:style w:type="paragraph" w:customStyle="1" w:styleId="1">
    <w:name w:val="列出段落1"/>
    <w:basedOn w:val="a"/>
    <w:rsid w:val="007E4667"/>
    <w:pPr>
      <w:ind w:firstLineChars="200" w:firstLine="420"/>
    </w:pPr>
    <w:rPr>
      <w:rFonts w:ascii="Times New Roman" w:eastAsia="宋体" w:hAnsi="Times New Roman" w:cs="Times New Roman"/>
      <w:szCs w:val="24"/>
    </w:rPr>
  </w:style>
  <w:style w:type="paragraph" w:customStyle="1" w:styleId="2">
    <w:name w:val="列出段落2"/>
    <w:basedOn w:val="a"/>
    <w:rsid w:val="007E4667"/>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zhangchi\&#23439;&#35266;&#23395;&#24230;&#25253;&#21578;\&#23395;&#24230;&#65306;GDP&#21644;&#24037;&#19994;&#22686;&#21152;&#20540;&#65288;2003q1&#22987;&#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zhangchi\&#23439;&#35266;&#23395;&#24230;&#25253;&#21578;\&#23395;&#24230;&#65306;&#20215;&#26684;&#25351;&#25968;.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zhangchi\&#23439;&#35266;&#23395;&#24230;&#25253;&#21578;\&#23395;&#24230;&#65306;&#22266;&#23450;&#36164;&#20135;&#25237;&#36164;&#21644;&#28040;&#36153;&#21697;&#38646;&#21806;&#3906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zhangchi\&#23439;&#35266;&#23395;&#24230;&#25253;&#21578;\&#23395;&#24230;&#65306;&#36827;&#20986;&#21475;&#19982;&#36152;&#26131;&#39034;&#2404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宋体"/>
                <a:ea typeface="宋体"/>
                <a:cs typeface="宋体"/>
              </a:defRPr>
            </a:pPr>
            <a:r>
              <a:rPr lang="zh-CN" altLang="en-US" sz="1200" b="0" i="0" u="none" strike="noStrike" baseline="0">
                <a:solidFill>
                  <a:srgbClr val="000000"/>
                </a:solidFill>
                <a:latin typeface="宋体"/>
                <a:ea typeface="宋体"/>
              </a:rPr>
              <a:t>GDP及规模以上工业增加值单季同比增长率（%）</a:t>
            </a:r>
          </a:p>
        </c:rich>
      </c:tx>
      <c:layout>
        <c:manualLayout>
          <c:xMode val="edge"/>
          <c:yMode val="edge"/>
          <c:x val="0.14876048081538584"/>
          <c:y val="3.7931034482758814E-2"/>
        </c:manualLayout>
      </c:layout>
      <c:overlay val="0"/>
      <c:spPr>
        <a:noFill/>
        <a:ln w="25400">
          <a:noFill/>
        </a:ln>
      </c:spPr>
    </c:title>
    <c:autoTitleDeleted val="0"/>
    <c:plotArea>
      <c:layout>
        <c:manualLayout>
          <c:layoutTarget val="inner"/>
          <c:xMode val="edge"/>
          <c:yMode val="edge"/>
          <c:x val="9.2975300409289266E-2"/>
          <c:y val="0.20689655172413793"/>
          <c:w val="0.85537276376545857"/>
          <c:h val="0.44482758620689777"/>
        </c:manualLayout>
      </c:layout>
      <c:lineChart>
        <c:grouping val="standard"/>
        <c:varyColors val="0"/>
        <c:ser>
          <c:idx val="0"/>
          <c:order val="0"/>
          <c:tx>
            <c:v>GDP</c:v>
          </c:tx>
          <c:spPr>
            <a:ln w="12700">
              <a:solidFill>
                <a:srgbClr val="000080"/>
              </a:solidFill>
              <a:prstDash val="solid"/>
            </a:ln>
          </c:spPr>
          <c:marker>
            <c:symbol val="diamond"/>
            <c:size val="5"/>
            <c:spPr>
              <a:solidFill>
                <a:srgbClr val="000080"/>
              </a:solidFill>
              <a:ln>
                <a:solidFill>
                  <a:srgbClr val="000080"/>
                </a:solidFill>
                <a:prstDash val="solid"/>
              </a:ln>
            </c:spPr>
          </c:marker>
          <c:cat>
            <c:strRef>
              <c:f>Sheet1!$A$29:$A$65</c:f>
              <c:strCache>
                <c:ptCount val="37"/>
                <c:pt idx="0">
                  <c:v>2009q1</c:v>
                </c:pt>
                <c:pt idx="1">
                  <c:v>2009q2</c:v>
                </c:pt>
                <c:pt idx="2">
                  <c:v>2009q3</c:v>
                </c:pt>
                <c:pt idx="3">
                  <c:v>2009q4</c:v>
                </c:pt>
                <c:pt idx="4">
                  <c:v>2010q1</c:v>
                </c:pt>
                <c:pt idx="5">
                  <c:v>2010q2</c:v>
                </c:pt>
                <c:pt idx="6">
                  <c:v>2010q3</c:v>
                </c:pt>
                <c:pt idx="7">
                  <c:v>2010q4</c:v>
                </c:pt>
                <c:pt idx="8">
                  <c:v>2011q1</c:v>
                </c:pt>
                <c:pt idx="9">
                  <c:v>2011q2</c:v>
                </c:pt>
                <c:pt idx="10">
                  <c:v>2011q3</c:v>
                </c:pt>
                <c:pt idx="11">
                  <c:v>2011q4</c:v>
                </c:pt>
                <c:pt idx="12">
                  <c:v>2012q1</c:v>
                </c:pt>
                <c:pt idx="13">
                  <c:v>2012q2</c:v>
                </c:pt>
                <c:pt idx="14">
                  <c:v>2012q3</c:v>
                </c:pt>
                <c:pt idx="15">
                  <c:v>2012q4</c:v>
                </c:pt>
                <c:pt idx="16">
                  <c:v>2013q1</c:v>
                </c:pt>
                <c:pt idx="17">
                  <c:v>2013q2</c:v>
                </c:pt>
                <c:pt idx="18">
                  <c:v>2013q3</c:v>
                </c:pt>
                <c:pt idx="19">
                  <c:v>2013q4</c:v>
                </c:pt>
                <c:pt idx="20">
                  <c:v>2014q1</c:v>
                </c:pt>
                <c:pt idx="21">
                  <c:v>2014q2</c:v>
                </c:pt>
                <c:pt idx="22">
                  <c:v>2014q3</c:v>
                </c:pt>
                <c:pt idx="23">
                  <c:v>2014q4</c:v>
                </c:pt>
                <c:pt idx="24">
                  <c:v>2015q1</c:v>
                </c:pt>
                <c:pt idx="25">
                  <c:v>2015q2</c:v>
                </c:pt>
                <c:pt idx="26">
                  <c:v>2015q3</c:v>
                </c:pt>
                <c:pt idx="27">
                  <c:v>2015q4</c:v>
                </c:pt>
                <c:pt idx="28">
                  <c:v>2016q1</c:v>
                </c:pt>
                <c:pt idx="29">
                  <c:v>2016q2</c:v>
                </c:pt>
                <c:pt idx="30">
                  <c:v>2016q3</c:v>
                </c:pt>
                <c:pt idx="31">
                  <c:v>2016q4</c:v>
                </c:pt>
                <c:pt idx="32">
                  <c:v>2017q1</c:v>
                </c:pt>
                <c:pt idx="33">
                  <c:v>2017q2</c:v>
                </c:pt>
                <c:pt idx="34">
                  <c:v>2017q3</c:v>
                </c:pt>
                <c:pt idx="35">
                  <c:v>2017q4</c:v>
                </c:pt>
                <c:pt idx="36">
                  <c:v>2018q1</c:v>
                </c:pt>
              </c:strCache>
            </c:strRef>
          </c:cat>
          <c:val>
            <c:numRef>
              <c:f>Sheet1!$B$29:$B$65</c:f>
              <c:numCache>
                <c:formatCode>General</c:formatCode>
                <c:ptCount val="37"/>
                <c:pt idx="0">
                  <c:v>6.1</c:v>
                </c:pt>
                <c:pt idx="1">
                  <c:v>7.9</c:v>
                </c:pt>
                <c:pt idx="2">
                  <c:v>8.9</c:v>
                </c:pt>
                <c:pt idx="3">
                  <c:v>10.7</c:v>
                </c:pt>
                <c:pt idx="4">
                  <c:v>11.9</c:v>
                </c:pt>
                <c:pt idx="5">
                  <c:v>10.3</c:v>
                </c:pt>
                <c:pt idx="6">
                  <c:v>9.6</c:v>
                </c:pt>
                <c:pt idx="7">
                  <c:v>9.8000000000000007</c:v>
                </c:pt>
                <c:pt idx="8">
                  <c:v>9.7000000000000011</c:v>
                </c:pt>
                <c:pt idx="9">
                  <c:v>9.5</c:v>
                </c:pt>
                <c:pt idx="10">
                  <c:v>9.1</c:v>
                </c:pt>
                <c:pt idx="11">
                  <c:v>8.9</c:v>
                </c:pt>
                <c:pt idx="12">
                  <c:v>8.1</c:v>
                </c:pt>
                <c:pt idx="13">
                  <c:v>7.6</c:v>
                </c:pt>
                <c:pt idx="14">
                  <c:v>7.4</c:v>
                </c:pt>
                <c:pt idx="15">
                  <c:v>7.9</c:v>
                </c:pt>
                <c:pt idx="16">
                  <c:v>7.7</c:v>
                </c:pt>
                <c:pt idx="17">
                  <c:v>7.5</c:v>
                </c:pt>
                <c:pt idx="18">
                  <c:v>7.8</c:v>
                </c:pt>
                <c:pt idx="19">
                  <c:v>7.7</c:v>
                </c:pt>
                <c:pt idx="20">
                  <c:v>7.4</c:v>
                </c:pt>
                <c:pt idx="21">
                  <c:v>7.5</c:v>
                </c:pt>
                <c:pt idx="22">
                  <c:v>7.3</c:v>
                </c:pt>
                <c:pt idx="23">
                  <c:v>7.3</c:v>
                </c:pt>
                <c:pt idx="24">
                  <c:v>7</c:v>
                </c:pt>
                <c:pt idx="25">
                  <c:v>7</c:v>
                </c:pt>
                <c:pt idx="26">
                  <c:v>6.9</c:v>
                </c:pt>
                <c:pt idx="27">
                  <c:v>6.8</c:v>
                </c:pt>
                <c:pt idx="28">
                  <c:v>6.7</c:v>
                </c:pt>
                <c:pt idx="29">
                  <c:v>6.7</c:v>
                </c:pt>
                <c:pt idx="30">
                  <c:v>6.7</c:v>
                </c:pt>
                <c:pt idx="31">
                  <c:v>6.8</c:v>
                </c:pt>
                <c:pt idx="32">
                  <c:v>6.9</c:v>
                </c:pt>
                <c:pt idx="33">
                  <c:v>6.9</c:v>
                </c:pt>
                <c:pt idx="34">
                  <c:v>6.8</c:v>
                </c:pt>
                <c:pt idx="35">
                  <c:v>6.8</c:v>
                </c:pt>
                <c:pt idx="36">
                  <c:v>6.8</c:v>
                </c:pt>
              </c:numCache>
            </c:numRef>
          </c:val>
          <c:smooth val="0"/>
          <c:extLst>
            <c:ext xmlns:c16="http://schemas.microsoft.com/office/drawing/2014/chart" uri="{C3380CC4-5D6E-409C-BE32-E72D297353CC}">
              <c16:uniqueId val="{00000000-AD44-4AF4-BCCD-6A44C97818E5}"/>
            </c:ext>
          </c:extLst>
        </c:ser>
        <c:ser>
          <c:idx val="1"/>
          <c:order val="1"/>
          <c:tx>
            <c:v>工业增加值</c:v>
          </c:tx>
          <c:spPr>
            <a:ln w="12700">
              <a:solidFill>
                <a:srgbClr val="FF00FF"/>
              </a:solidFill>
              <a:prstDash val="solid"/>
            </a:ln>
          </c:spPr>
          <c:marker>
            <c:symbol val="square"/>
            <c:size val="5"/>
            <c:spPr>
              <a:solidFill>
                <a:srgbClr val="FF00FF"/>
              </a:solidFill>
              <a:ln>
                <a:solidFill>
                  <a:srgbClr val="FF00FF"/>
                </a:solidFill>
                <a:prstDash val="solid"/>
              </a:ln>
            </c:spPr>
          </c:marker>
          <c:cat>
            <c:strRef>
              <c:f>Sheet1!$A$29:$A$65</c:f>
              <c:strCache>
                <c:ptCount val="37"/>
                <c:pt idx="0">
                  <c:v>2009q1</c:v>
                </c:pt>
                <c:pt idx="1">
                  <c:v>2009q2</c:v>
                </c:pt>
                <c:pt idx="2">
                  <c:v>2009q3</c:v>
                </c:pt>
                <c:pt idx="3">
                  <c:v>2009q4</c:v>
                </c:pt>
                <c:pt idx="4">
                  <c:v>2010q1</c:v>
                </c:pt>
                <c:pt idx="5">
                  <c:v>2010q2</c:v>
                </c:pt>
                <c:pt idx="6">
                  <c:v>2010q3</c:v>
                </c:pt>
                <c:pt idx="7">
                  <c:v>2010q4</c:v>
                </c:pt>
                <c:pt idx="8">
                  <c:v>2011q1</c:v>
                </c:pt>
                <c:pt idx="9">
                  <c:v>2011q2</c:v>
                </c:pt>
                <c:pt idx="10">
                  <c:v>2011q3</c:v>
                </c:pt>
                <c:pt idx="11">
                  <c:v>2011q4</c:v>
                </c:pt>
                <c:pt idx="12">
                  <c:v>2012q1</c:v>
                </c:pt>
                <c:pt idx="13">
                  <c:v>2012q2</c:v>
                </c:pt>
                <c:pt idx="14">
                  <c:v>2012q3</c:v>
                </c:pt>
                <c:pt idx="15">
                  <c:v>2012q4</c:v>
                </c:pt>
                <c:pt idx="16">
                  <c:v>2013q1</c:v>
                </c:pt>
                <c:pt idx="17">
                  <c:v>2013q2</c:v>
                </c:pt>
                <c:pt idx="18">
                  <c:v>2013q3</c:v>
                </c:pt>
                <c:pt idx="19">
                  <c:v>2013q4</c:v>
                </c:pt>
                <c:pt idx="20">
                  <c:v>2014q1</c:v>
                </c:pt>
                <c:pt idx="21">
                  <c:v>2014q2</c:v>
                </c:pt>
                <c:pt idx="22">
                  <c:v>2014q3</c:v>
                </c:pt>
                <c:pt idx="23">
                  <c:v>2014q4</c:v>
                </c:pt>
                <c:pt idx="24">
                  <c:v>2015q1</c:v>
                </c:pt>
                <c:pt idx="25">
                  <c:v>2015q2</c:v>
                </c:pt>
                <c:pt idx="26">
                  <c:v>2015q3</c:v>
                </c:pt>
                <c:pt idx="27">
                  <c:v>2015q4</c:v>
                </c:pt>
                <c:pt idx="28">
                  <c:v>2016q1</c:v>
                </c:pt>
                <c:pt idx="29">
                  <c:v>2016q2</c:v>
                </c:pt>
                <c:pt idx="30">
                  <c:v>2016q3</c:v>
                </c:pt>
                <c:pt idx="31">
                  <c:v>2016q4</c:v>
                </c:pt>
                <c:pt idx="32">
                  <c:v>2017q1</c:v>
                </c:pt>
                <c:pt idx="33">
                  <c:v>2017q2</c:v>
                </c:pt>
                <c:pt idx="34">
                  <c:v>2017q3</c:v>
                </c:pt>
                <c:pt idx="35">
                  <c:v>2017q4</c:v>
                </c:pt>
                <c:pt idx="36">
                  <c:v>2018q1</c:v>
                </c:pt>
              </c:strCache>
            </c:strRef>
          </c:cat>
          <c:val>
            <c:numRef>
              <c:f>Sheet1!$C$29:$C$65</c:f>
              <c:numCache>
                <c:formatCode>General</c:formatCode>
                <c:ptCount val="37"/>
                <c:pt idx="0">
                  <c:v>5.0999999999999996</c:v>
                </c:pt>
                <c:pt idx="1">
                  <c:v>9.1</c:v>
                </c:pt>
                <c:pt idx="2">
                  <c:v>12.4</c:v>
                </c:pt>
                <c:pt idx="3">
                  <c:v>18</c:v>
                </c:pt>
                <c:pt idx="4">
                  <c:v>19.600000000000001</c:v>
                </c:pt>
                <c:pt idx="5">
                  <c:v>15.6</c:v>
                </c:pt>
                <c:pt idx="6">
                  <c:v>13.5</c:v>
                </c:pt>
                <c:pt idx="7">
                  <c:v>13.3</c:v>
                </c:pt>
                <c:pt idx="8">
                  <c:v>14.4</c:v>
                </c:pt>
                <c:pt idx="9">
                  <c:v>14.2</c:v>
                </c:pt>
                <c:pt idx="10">
                  <c:v>14</c:v>
                </c:pt>
                <c:pt idx="11">
                  <c:v>13</c:v>
                </c:pt>
                <c:pt idx="12">
                  <c:v>11.6</c:v>
                </c:pt>
                <c:pt idx="13">
                  <c:v>9.4</c:v>
                </c:pt>
                <c:pt idx="14">
                  <c:v>9</c:v>
                </c:pt>
                <c:pt idx="15">
                  <c:v>10</c:v>
                </c:pt>
                <c:pt idx="16">
                  <c:v>9.5</c:v>
                </c:pt>
                <c:pt idx="17">
                  <c:v>9.1</c:v>
                </c:pt>
                <c:pt idx="18">
                  <c:v>10.200000000000001</c:v>
                </c:pt>
                <c:pt idx="19">
                  <c:v>10</c:v>
                </c:pt>
                <c:pt idx="20">
                  <c:v>8.7000000000000011</c:v>
                </c:pt>
                <c:pt idx="21">
                  <c:v>8.9</c:v>
                </c:pt>
                <c:pt idx="22">
                  <c:v>7.9</c:v>
                </c:pt>
                <c:pt idx="23">
                  <c:v>7.7</c:v>
                </c:pt>
                <c:pt idx="24">
                  <c:v>6.4</c:v>
                </c:pt>
                <c:pt idx="25">
                  <c:v>6.2</c:v>
                </c:pt>
                <c:pt idx="26">
                  <c:v>6.2</c:v>
                </c:pt>
                <c:pt idx="27">
                  <c:v>5.8</c:v>
                </c:pt>
                <c:pt idx="28">
                  <c:v>5.8</c:v>
                </c:pt>
                <c:pt idx="29">
                  <c:v>6.2</c:v>
                </c:pt>
                <c:pt idx="30">
                  <c:v>6</c:v>
                </c:pt>
                <c:pt idx="31">
                  <c:v>6</c:v>
                </c:pt>
                <c:pt idx="32">
                  <c:v>6.8</c:v>
                </c:pt>
                <c:pt idx="33">
                  <c:v>7</c:v>
                </c:pt>
                <c:pt idx="34">
                  <c:v>6.3</c:v>
                </c:pt>
                <c:pt idx="35">
                  <c:v>6.3</c:v>
                </c:pt>
                <c:pt idx="36">
                  <c:v>6.8</c:v>
                </c:pt>
              </c:numCache>
            </c:numRef>
          </c:val>
          <c:smooth val="0"/>
          <c:extLst>
            <c:ext xmlns:c16="http://schemas.microsoft.com/office/drawing/2014/chart" uri="{C3380CC4-5D6E-409C-BE32-E72D297353CC}">
              <c16:uniqueId val="{00000001-AD44-4AF4-BCCD-6A44C97818E5}"/>
            </c:ext>
          </c:extLst>
        </c:ser>
        <c:dLbls>
          <c:showLegendKey val="0"/>
          <c:showVal val="0"/>
          <c:showCatName val="0"/>
          <c:showSerName val="0"/>
          <c:showPercent val="0"/>
          <c:showBubbleSize val="0"/>
        </c:dLbls>
        <c:marker val="1"/>
        <c:smooth val="0"/>
        <c:axId val="96285056"/>
        <c:axId val="96315264"/>
      </c:lineChart>
      <c:catAx>
        <c:axId val="96285056"/>
        <c:scaling>
          <c:orientation val="minMax"/>
        </c:scaling>
        <c:delete val="0"/>
        <c:axPos val="b"/>
        <c:numFmt formatCode="General" sourceLinked="1"/>
        <c:majorTickMark val="in"/>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宋体"/>
                <a:ea typeface="宋体"/>
                <a:cs typeface="宋体"/>
              </a:defRPr>
            </a:pPr>
            <a:endParaRPr lang="zh-CN"/>
          </a:p>
        </c:txPr>
        <c:crossAx val="96315264"/>
        <c:crosses val="autoZero"/>
        <c:auto val="1"/>
        <c:lblAlgn val="ctr"/>
        <c:lblOffset val="100"/>
        <c:tickLblSkip val="1"/>
        <c:tickMarkSkip val="1"/>
        <c:noMultiLvlLbl val="0"/>
      </c:catAx>
      <c:valAx>
        <c:axId val="96315264"/>
        <c:scaling>
          <c:orientation val="minMax"/>
        </c:scaling>
        <c:delete val="0"/>
        <c:axPos val="l"/>
        <c:majorGridlines>
          <c:spPr>
            <a:ln w="3175">
              <a:solidFill>
                <a:srgbClr val="000000"/>
              </a:solidFill>
              <a:prstDash val="solid"/>
            </a:ln>
          </c:spPr>
        </c:majorGridlines>
        <c:numFmt formatCode="General" sourceLinked="1"/>
        <c:majorTickMark val="in"/>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宋体"/>
                <a:ea typeface="宋体"/>
                <a:cs typeface="宋体"/>
              </a:defRPr>
            </a:pPr>
            <a:endParaRPr lang="zh-CN"/>
          </a:p>
        </c:txPr>
        <c:crossAx val="96285056"/>
        <c:crosses val="autoZero"/>
        <c:crossBetween val="midCat"/>
      </c:valAx>
    </c:plotArea>
    <c:legend>
      <c:legendPos val="b"/>
      <c:layout>
        <c:manualLayout>
          <c:xMode val="edge"/>
          <c:yMode val="edge"/>
          <c:x val="0.33057895973120316"/>
          <c:y val="0.90344827586206655"/>
          <c:w val="0.37809961498003408"/>
          <c:h val="7.5862068965517324E-2"/>
        </c:manualLayout>
      </c:layout>
      <c:overlay val="0"/>
      <c:spPr>
        <a:solidFill>
          <a:srgbClr val="FFFFFF"/>
        </a:solidFill>
        <a:ln w="25400">
          <a:noFill/>
        </a:ln>
      </c:spPr>
      <c:txPr>
        <a:bodyPr/>
        <a:lstStyle/>
        <a:p>
          <a:pPr>
            <a:defRPr sz="1100" b="0" i="0" u="none" strike="noStrike" baseline="0">
              <a:solidFill>
                <a:srgbClr val="000000"/>
              </a:solidFill>
              <a:latin typeface="宋体"/>
              <a:ea typeface="宋体"/>
              <a:cs typeface="宋体"/>
            </a:defRPr>
          </a:pPr>
          <a:endParaRPr lang="zh-CN"/>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宋体"/>
          <a:ea typeface="宋体"/>
          <a:cs typeface="宋体"/>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宋体"/>
                <a:ea typeface="宋体"/>
                <a:cs typeface="宋体"/>
              </a:defRPr>
            </a:pPr>
            <a:r>
              <a:rPr lang="zh-CN" altLang="en-US"/>
              <a:t>价格水平单季同比增长率（％）</a:t>
            </a:r>
          </a:p>
        </c:rich>
      </c:tx>
      <c:layout>
        <c:manualLayout>
          <c:xMode val="edge"/>
          <c:yMode val="edge"/>
          <c:x val="0.30988327464092275"/>
          <c:y val="3.7931034482758814E-2"/>
        </c:manualLayout>
      </c:layout>
      <c:overlay val="0"/>
      <c:spPr>
        <a:noFill/>
        <a:ln w="25400">
          <a:noFill/>
        </a:ln>
      </c:spPr>
    </c:title>
    <c:autoTitleDeleted val="0"/>
    <c:plotArea>
      <c:layout>
        <c:manualLayout>
          <c:layoutTarget val="inner"/>
          <c:xMode val="edge"/>
          <c:yMode val="edge"/>
          <c:x val="8.8777364650997267E-2"/>
          <c:y val="0.20689655172413793"/>
          <c:w val="0.85929788803700802"/>
          <c:h val="0.62068965517241692"/>
        </c:manualLayout>
      </c:layout>
      <c:lineChart>
        <c:grouping val="standard"/>
        <c:varyColors val="0"/>
        <c:ser>
          <c:idx val="0"/>
          <c:order val="0"/>
          <c:tx>
            <c:v>CPI</c:v>
          </c:tx>
          <c:spPr>
            <a:ln w="12700">
              <a:solidFill>
                <a:srgbClr val="000080"/>
              </a:solidFill>
              <a:prstDash val="solid"/>
            </a:ln>
          </c:spPr>
          <c:marker>
            <c:symbol val="diamond"/>
            <c:size val="5"/>
            <c:spPr>
              <a:solidFill>
                <a:srgbClr val="000080"/>
              </a:solidFill>
              <a:ln>
                <a:solidFill>
                  <a:srgbClr val="000080"/>
                </a:solidFill>
                <a:prstDash val="solid"/>
              </a:ln>
            </c:spPr>
          </c:marker>
          <c:cat>
            <c:strRef>
              <c:f>价格增长率!$A$27:$A$63</c:f>
              <c:strCache>
                <c:ptCount val="37"/>
                <c:pt idx="0">
                  <c:v>2009q1</c:v>
                </c:pt>
                <c:pt idx="1">
                  <c:v>2009q2</c:v>
                </c:pt>
                <c:pt idx="2">
                  <c:v>2009q3</c:v>
                </c:pt>
                <c:pt idx="3">
                  <c:v>2009q4</c:v>
                </c:pt>
                <c:pt idx="4">
                  <c:v>2010q1</c:v>
                </c:pt>
                <c:pt idx="5">
                  <c:v>2010q2</c:v>
                </c:pt>
                <c:pt idx="6">
                  <c:v>2010q3</c:v>
                </c:pt>
                <c:pt idx="7">
                  <c:v>2010q4</c:v>
                </c:pt>
                <c:pt idx="8">
                  <c:v>2011q1</c:v>
                </c:pt>
                <c:pt idx="9">
                  <c:v>2011q2</c:v>
                </c:pt>
                <c:pt idx="10">
                  <c:v>2011q3</c:v>
                </c:pt>
                <c:pt idx="11">
                  <c:v>2011q4</c:v>
                </c:pt>
                <c:pt idx="12">
                  <c:v>2012q1</c:v>
                </c:pt>
                <c:pt idx="13">
                  <c:v>2012q2</c:v>
                </c:pt>
                <c:pt idx="14">
                  <c:v>2012q3</c:v>
                </c:pt>
                <c:pt idx="15">
                  <c:v>2012q4</c:v>
                </c:pt>
                <c:pt idx="16">
                  <c:v>2013q1</c:v>
                </c:pt>
                <c:pt idx="17">
                  <c:v>2013q2</c:v>
                </c:pt>
                <c:pt idx="18">
                  <c:v>2013q3</c:v>
                </c:pt>
                <c:pt idx="19">
                  <c:v>2013q4</c:v>
                </c:pt>
                <c:pt idx="20">
                  <c:v>2014q1</c:v>
                </c:pt>
                <c:pt idx="21">
                  <c:v>2014q2</c:v>
                </c:pt>
                <c:pt idx="22">
                  <c:v>2014q3</c:v>
                </c:pt>
                <c:pt idx="23">
                  <c:v>2014q4</c:v>
                </c:pt>
                <c:pt idx="24">
                  <c:v>2015q1</c:v>
                </c:pt>
                <c:pt idx="25">
                  <c:v>2015q2</c:v>
                </c:pt>
                <c:pt idx="26">
                  <c:v>2015q3</c:v>
                </c:pt>
                <c:pt idx="27">
                  <c:v>2015q4</c:v>
                </c:pt>
                <c:pt idx="28">
                  <c:v>2016q1</c:v>
                </c:pt>
                <c:pt idx="29">
                  <c:v>2016q2</c:v>
                </c:pt>
                <c:pt idx="30">
                  <c:v>2016q3</c:v>
                </c:pt>
                <c:pt idx="31">
                  <c:v>2016q4</c:v>
                </c:pt>
                <c:pt idx="32">
                  <c:v>2017q1</c:v>
                </c:pt>
                <c:pt idx="33">
                  <c:v>2017q2</c:v>
                </c:pt>
                <c:pt idx="34">
                  <c:v>2017q3</c:v>
                </c:pt>
                <c:pt idx="35">
                  <c:v>2017q4</c:v>
                </c:pt>
                <c:pt idx="36">
                  <c:v>2018q1</c:v>
                </c:pt>
              </c:strCache>
            </c:strRef>
          </c:cat>
          <c:val>
            <c:numRef>
              <c:f>价格增长率!$B$27:$B$63</c:f>
              <c:numCache>
                <c:formatCode>General</c:formatCode>
                <c:ptCount val="37"/>
                <c:pt idx="0">
                  <c:v>-0.60000000000000064</c:v>
                </c:pt>
                <c:pt idx="1">
                  <c:v>-1.6</c:v>
                </c:pt>
                <c:pt idx="2">
                  <c:v>-1.1000000000000001</c:v>
                </c:pt>
                <c:pt idx="3">
                  <c:v>-0.5</c:v>
                </c:pt>
                <c:pt idx="4">
                  <c:v>2.2000000000000002</c:v>
                </c:pt>
                <c:pt idx="5">
                  <c:v>3</c:v>
                </c:pt>
                <c:pt idx="6">
                  <c:v>3.2</c:v>
                </c:pt>
                <c:pt idx="7">
                  <c:v>4.8</c:v>
                </c:pt>
                <c:pt idx="8">
                  <c:v>5</c:v>
                </c:pt>
                <c:pt idx="9">
                  <c:v>5.8</c:v>
                </c:pt>
                <c:pt idx="10">
                  <c:v>6.3</c:v>
                </c:pt>
                <c:pt idx="11">
                  <c:v>4.5</c:v>
                </c:pt>
                <c:pt idx="12">
                  <c:v>3.8</c:v>
                </c:pt>
                <c:pt idx="13">
                  <c:v>2.8</c:v>
                </c:pt>
                <c:pt idx="14">
                  <c:v>1.8</c:v>
                </c:pt>
                <c:pt idx="15">
                  <c:v>2</c:v>
                </c:pt>
                <c:pt idx="16">
                  <c:v>2.4</c:v>
                </c:pt>
                <c:pt idx="17">
                  <c:v>2.4</c:v>
                </c:pt>
                <c:pt idx="18">
                  <c:v>2.7</c:v>
                </c:pt>
                <c:pt idx="19">
                  <c:v>2.9</c:v>
                </c:pt>
                <c:pt idx="20">
                  <c:v>2.2999999999999998</c:v>
                </c:pt>
                <c:pt idx="21">
                  <c:v>2.2999999999999998</c:v>
                </c:pt>
                <c:pt idx="22">
                  <c:v>1.7</c:v>
                </c:pt>
                <c:pt idx="23">
                  <c:v>1.7</c:v>
                </c:pt>
                <c:pt idx="24">
                  <c:v>1.2</c:v>
                </c:pt>
                <c:pt idx="25">
                  <c:v>1.4</c:v>
                </c:pt>
                <c:pt idx="26">
                  <c:v>1.6</c:v>
                </c:pt>
                <c:pt idx="27">
                  <c:v>1.4</c:v>
                </c:pt>
                <c:pt idx="28">
                  <c:v>2.1</c:v>
                </c:pt>
                <c:pt idx="29">
                  <c:v>2.1</c:v>
                </c:pt>
                <c:pt idx="30">
                  <c:v>1.8</c:v>
                </c:pt>
                <c:pt idx="31">
                  <c:v>2</c:v>
                </c:pt>
                <c:pt idx="32">
                  <c:v>1.4</c:v>
                </c:pt>
                <c:pt idx="33">
                  <c:v>1.4</c:v>
                </c:pt>
                <c:pt idx="34">
                  <c:v>1.7</c:v>
                </c:pt>
                <c:pt idx="35">
                  <c:v>1.9000000000000001</c:v>
                </c:pt>
                <c:pt idx="36">
                  <c:v>2.1</c:v>
                </c:pt>
              </c:numCache>
            </c:numRef>
          </c:val>
          <c:smooth val="0"/>
          <c:extLst>
            <c:ext xmlns:c16="http://schemas.microsoft.com/office/drawing/2014/chart" uri="{C3380CC4-5D6E-409C-BE32-E72D297353CC}">
              <c16:uniqueId val="{00000000-40D1-4608-9A84-A4BF617A658E}"/>
            </c:ext>
          </c:extLst>
        </c:ser>
        <c:ser>
          <c:idx val="1"/>
          <c:order val="1"/>
          <c:tx>
            <c:v>工业生产者出厂价格</c:v>
          </c:tx>
          <c:spPr>
            <a:ln w="12700">
              <a:solidFill>
                <a:srgbClr val="FF00FF"/>
              </a:solidFill>
              <a:prstDash val="solid"/>
            </a:ln>
          </c:spPr>
          <c:marker>
            <c:symbol val="square"/>
            <c:size val="5"/>
            <c:spPr>
              <a:solidFill>
                <a:srgbClr val="FF00FF"/>
              </a:solidFill>
              <a:ln>
                <a:solidFill>
                  <a:srgbClr val="FF00FF"/>
                </a:solidFill>
                <a:prstDash val="solid"/>
              </a:ln>
            </c:spPr>
          </c:marker>
          <c:cat>
            <c:strRef>
              <c:f>价格增长率!$A$27:$A$63</c:f>
              <c:strCache>
                <c:ptCount val="37"/>
                <c:pt idx="0">
                  <c:v>2009q1</c:v>
                </c:pt>
                <c:pt idx="1">
                  <c:v>2009q2</c:v>
                </c:pt>
                <c:pt idx="2">
                  <c:v>2009q3</c:v>
                </c:pt>
                <c:pt idx="3">
                  <c:v>2009q4</c:v>
                </c:pt>
                <c:pt idx="4">
                  <c:v>2010q1</c:v>
                </c:pt>
                <c:pt idx="5">
                  <c:v>2010q2</c:v>
                </c:pt>
                <c:pt idx="6">
                  <c:v>2010q3</c:v>
                </c:pt>
                <c:pt idx="7">
                  <c:v>2010q4</c:v>
                </c:pt>
                <c:pt idx="8">
                  <c:v>2011q1</c:v>
                </c:pt>
                <c:pt idx="9">
                  <c:v>2011q2</c:v>
                </c:pt>
                <c:pt idx="10">
                  <c:v>2011q3</c:v>
                </c:pt>
                <c:pt idx="11">
                  <c:v>2011q4</c:v>
                </c:pt>
                <c:pt idx="12">
                  <c:v>2012q1</c:v>
                </c:pt>
                <c:pt idx="13">
                  <c:v>2012q2</c:v>
                </c:pt>
                <c:pt idx="14">
                  <c:v>2012q3</c:v>
                </c:pt>
                <c:pt idx="15">
                  <c:v>2012q4</c:v>
                </c:pt>
                <c:pt idx="16">
                  <c:v>2013q1</c:v>
                </c:pt>
                <c:pt idx="17">
                  <c:v>2013q2</c:v>
                </c:pt>
                <c:pt idx="18">
                  <c:v>2013q3</c:v>
                </c:pt>
                <c:pt idx="19">
                  <c:v>2013q4</c:v>
                </c:pt>
                <c:pt idx="20">
                  <c:v>2014q1</c:v>
                </c:pt>
                <c:pt idx="21">
                  <c:v>2014q2</c:v>
                </c:pt>
                <c:pt idx="22">
                  <c:v>2014q3</c:v>
                </c:pt>
                <c:pt idx="23">
                  <c:v>2014q4</c:v>
                </c:pt>
                <c:pt idx="24">
                  <c:v>2015q1</c:v>
                </c:pt>
                <c:pt idx="25">
                  <c:v>2015q2</c:v>
                </c:pt>
                <c:pt idx="26">
                  <c:v>2015q3</c:v>
                </c:pt>
                <c:pt idx="27">
                  <c:v>2015q4</c:v>
                </c:pt>
                <c:pt idx="28">
                  <c:v>2016q1</c:v>
                </c:pt>
                <c:pt idx="29">
                  <c:v>2016q2</c:v>
                </c:pt>
                <c:pt idx="30">
                  <c:v>2016q3</c:v>
                </c:pt>
                <c:pt idx="31">
                  <c:v>2016q4</c:v>
                </c:pt>
                <c:pt idx="32">
                  <c:v>2017q1</c:v>
                </c:pt>
                <c:pt idx="33">
                  <c:v>2017q2</c:v>
                </c:pt>
                <c:pt idx="34">
                  <c:v>2017q3</c:v>
                </c:pt>
                <c:pt idx="35">
                  <c:v>2017q4</c:v>
                </c:pt>
                <c:pt idx="36">
                  <c:v>2018q1</c:v>
                </c:pt>
              </c:strCache>
            </c:strRef>
          </c:cat>
          <c:val>
            <c:numRef>
              <c:f>价格增长率!$C$27:$C$63</c:f>
              <c:numCache>
                <c:formatCode>General</c:formatCode>
                <c:ptCount val="37"/>
                <c:pt idx="0">
                  <c:v>-4.5999999999999996</c:v>
                </c:pt>
                <c:pt idx="1">
                  <c:v>-7.2</c:v>
                </c:pt>
                <c:pt idx="2">
                  <c:v>-7.7</c:v>
                </c:pt>
                <c:pt idx="3">
                  <c:v>-2.1</c:v>
                </c:pt>
                <c:pt idx="4">
                  <c:v>5.2</c:v>
                </c:pt>
                <c:pt idx="5">
                  <c:v>6.8</c:v>
                </c:pt>
                <c:pt idx="6">
                  <c:v>4.5</c:v>
                </c:pt>
                <c:pt idx="7">
                  <c:v>5.5</c:v>
                </c:pt>
                <c:pt idx="8">
                  <c:v>7.1</c:v>
                </c:pt>
                <c:pt idx="9">
                  <c:v>6.9</c:v>
                </c:pt>
                <c:pt idx="10">
                  <c:v>7</c:v>
                </c:pt>
                <c:pt idx="11">
                  <c:v>3</c:v>
                </c:pt>
                <c:pt idx="12">
                  <c:v>0.1</c:v>
                </c:pt>
                <c:pt idx="13">
                  <c:v>-1.3</c:v>
                </c:pt>
                <c:pt idx="14">
                  <c:v>-3.3</c:v>
                </c:pt>
                <c:pt idx="15">
                  <c:v>-2.2999999999999998</c:v>
                </c:pt>
                <c:pt idx="16">
                  <c:v>-1.7</c:v>
                </c:pt>
                <c:pt idx="17">
                  <c:v>-2.7</c:v>
                </c:pt>
                <c:pt idx="18">
                  <c:v>-1.9000000000000001</c:v>
                </c:pt>
                <c:pt idx="19">
                  <c:v>-1.3</c:v>
                </c:pt>
                <c:pt idx="20">
                  <c:v>-2</c:v>
                </c:pt>
                <c:pt idx="21">
                  <c:v>-1.6</c:v>
                </c:pt>
                <c:pt idx="22">
                  <c:v>-1.2</c:v>
                </c:pt>
                <c:pt idx="23">
                  <c:v>-2.8</c:v>
                </c:pt>
                <c:pt idx="24">
                  <c:v>-4.5999999999999996</c:v>
                </c:pt>
                <c:pt idx="25">
                  <c:v>-4.5999999999999996</c:v>
                </c:pt>
                <c:pt idx="26">
                  <c:v>-5.8</c:v>
                </c:pt>
                <c:pt idx="27">
                  <c:v>-5.8</c:v>
                </c:pt>
                <c:pt idx="28">
                  <c:v>-4.8</c:v>
                </c:pt>
                <c:pt idx="29">
                  <c:v>-3</c:v>
                </c:pt>
                <c:pt idx="30">
                  <c:v>-0.9</c:v>
                </c:pt>
                <c:pt idx="31">
                  <c:v>3.1</c:v>
                </c:pt>
                <c:pt idx="32">
                  <c:v>7.4</c:v>
                </c:pt>
                <c:pt idx="33">
                  <c:v>5.8</c:v>
                </c:pt>
                <c:pt idx="34">
                  <c:v>6.3</c:v>
                </c:pt>
                <c:pt idx="35">
                  <c:v>5.7</c:v>
                </c:pt>
                <c:pt idx="36">
                  <c:v>3.7</c:v>
                </c:pt>
              </c:numCache>
            </c:numRef>
          </c:val>
          <c:smooth val="0"/>
          <c:extLst>
            <c:ext xmlns:c16="http://schemas.microsoft.com/office/drawing/2014/chart" uri="{C3380CC4-5D6E-409C-BE32-E72D297353CC}">
              <c16:uniqueId val="{00000001-40D1-4608-9A84-A4BF617A658E}"/>
            </c:ext>
          </c:extLst>
        </c:ser>
        <c:ser>
          <c:idx val="2"/>
          <c:order val="2"/>
          <c:tx>
            <c:v>工业生产者购进价格</c:v>
          </c:tx>
          <c:spPr>
            <a:ln w="12700">
              <a:solidFill>
                <a:srgbClr val="800080"/>
              </a:solidFill>
              <a:prstDash val="solid"/>
            </a:ln>
          </c:spPr>
          <c:marker>
            <c:symbol val="triangle"/>
            <c:size val="5"/>
            <c:spPr>
              <a:solidFill>
                <a:srgbClr val="800080"/>
              </a:solidFill>
              <a:ln>
                <a:solidFill>
                  <a:srgbClr val="800080"/>
                </a:solidFill>
                <a:prstDash val="solid"/>
              </a:ln>
            </c:spPr>
          </c:marker>
          <c:cat>
            <c:strRef>
              <c:f>价格增长率!$A$27:$A$63</c:f>
              <c:strCache>
                <c:ptCount val="37"/>
                <c:pt idx="0">
                  <c:v>2009q1</c:v>
                </c:pt>
                <c:pt idx="1">
                  <c:v>2009q2</c:v>
                </c:pt>
                <c:pt idx="2">
                  <c:v>2009q3</c:v>
                </c:pt>
                <c:pt idx="3">
                  <c:v>2009q4</c:v>
                </c:pt>
                <c:pt idx="4">
                  <c:v>2010q1</c:v>
                </c:pt>
                <c:pt idx="5">
                  <c:v>2010q2</c:v>
                </c:pt>
                <c:pt idx="6">
                  <c:v>2010q3</c:v>
                </c:pt>
                <c:pt idx="7">
                  <c:v>2010q4</c:v>
                </c:pt>
                <c:pt idx="8">
                  <c:v>2011q1</c:v>
                </c:pt>
                <c:pt idx="9">
                  <c:v>2011q2</c:v>
                </c:pt>
                <c:pt idx="10">
                  <c:v>2011q3</c:v>
                </c:pt>
                <c:pt idx="11">
                  <c:v>2011q4</c:v>
                </c:pt>
                <c:pt idx="12">
                  <c:v>2012q1</c:v>
                </c:pt>
                <c:pt idx="13">
                  <c:v>2012q2</c:v>
                </c:pt>
                <c:pt idx="14">
                  <c:v>2012q3</c:v>
                </c:pt>
                <c:pt idx="15">
                  <c:v>2012q4</c:v>
                </c:pt>
                <c:pt idx="16">
                  <c:v>2013q1</c:v>
                </c:pt>
                <c:pt idx="17">
                  <c:v>2013q2</c:v>
                </c:pt>
                <c:pt idx="18">
                  <c:v>2013q3</c:v>
                </c:pt>
                <c:pt idx="19">
                  <c:v>2013q4</c:v>
                </c:pt>
                <c:pt idx="20">
                  <c:v>2014q1</c:v>
                </c:pt>
                <c:pt idx="21">
                  <c:v>2014q2</c:v>
                </c:pt>
                <c:pt idx="22">
                  <c:v>2014q3</c:v>
                </c:pt>
                <c:pt idx="23">
                  <c:v>2014q4</c:v>
                </c:pt>
                <c:pt idx="24">
                  <c:v>2015q1</c:v>
                </c:pt>
                <c:pt idx="25">
                  <c:v>2015q2</c:v>
                </c:pt>
                <c:pt idx="26">
                  <c:v>2015q3</c:v>
                </c:pt>
                <c:pt idx="27">
                  <c:v>2015q4</c:v>
                </c:pt>
                <c:pt idx="28">
                  <c:v>2016q1</c:v>
                </c:pt>
                <c:pt idx="29">
                  <c:v>2016q2</c:v>
                </c:pt>
                <c:pt idx="30">
                  <c:v>2016q3</c:v>
                </c:pt>
                <c:pt idx="31">
                  <c:v>2016q4</c:v>
                </c:pt>
                <c:pt idx="32">
                  <c:v>2017q1</c:v>
                </c:pt>
                <c:pt idx="33">
                  <c:v>2017q2</c:v>
                </c:pt>
                <c:pt idx="34">
                  <c:v>2017q3</c:v>
                </c:pt>
                <c:pt idx="35">
                  <c:v>2017q4</c:v>
                </c:pt>
                <c:pt idx="36">
                  <c:v>2018q1</c:v>
                </c:pt>
              </c:strCache>
            </c:strRef>
          </c:cat>
          <c:val>
            <c:numRef>
              <c:f>价格增长率!$D$27:$D$63</c:f>
              <c:numCache>
                <c:formatCode>General</c:formatCode>
                <c:ptCount val="37"/>
                <c:pt idx="0">
                  <c:v>-7.1</c:v>
                </c:pt>
                <c:pt idx="1">
                  <c:v>-10.3</c:v>
                </c:pt>
                <c:pt idx="2">
                  <c:v>-11.1</c:v>
                </c:pt>
                <c:pt idx="3">
                  <c:v>-3.4</c:v>
                </c:pt>
                <c:pt idx="4">
                  <c:v>9.9</c:v>
                </c:pt>
                <c:pt idx="5">
                  <c:v>11.7</c:v>
                </c:pt>
                <c:pt idx="6">
                  <c:v>7.8</c:v>
                </c:pt>
                <c:pt idx="7">
                  <c:v>9</c:v>
                </c:pt>
                <c:pt idx="8">
                  <c:v>10.200000000000001</c:v>
                </c:pt>
                <c:pt idx="9">
                  <c:v>10.4</c:v>
                </c:pt>
                <c:pt idx="10">
                  <c:v>10.6</c:v>
                </c:pt>
                <c:pt idx="11">
                  <c:v>5.2</c:v>
                </c:pt>
                <c:pt idx="12">
                  <c:v>1</c:v>
                </c:pt>
                <c:pt idx="13">
                  <c:v>-1.6</c:v>
                </c:pt>
                <c:pt idx="14">
                  <c:v>-3.9</c:v>
                </c:pt>
                <c:pt idx="15">
                  <c:v>-2.7</c:v>
                </c:pt>
                <c:pt idx="16">
                  <c:v>-1.9000000000000001</c:v>
                </c:pt>
                <c:pt idx="17">
                  <c:v>-2.9</c:v>
                </c:pt>
                <c:pt idx="18">
                  <c:v>-1.8</c:v>
                </c:pt>
                <c:pt idx="19">
                  <c:v>-1.4</c:v>
                </c:pt>
                <c:pt idx="20">
                  <c:v>-2.1</c:v>
                </c:pt>
                <c:pt idx="21">
                  <c:v>-1.9000000000000001</c:v>
                </c:pt>
                <c:pt idx="22">
                  <c:v>-1.4</c:v>
                </c:pt>
                <c:pt idx="23">
                  <c:v>-3.4</c:v>
                </c:pt>
                <c:pt idx="24">
                  <c:v>-5.6</c:v>
                </c:pt>
                <c:pt idx="25">
                  <c:v>-5.4</c:v>
                </c:pt>
                <c:pt idx="26">
                  <c:v>-6.7</c:v>
                </c:pt>
                <c:pt idx="27">
                  <c:v>-6.7</c:v>
                </c:pt>
                <c:pt idx="28">
                  <c:v>-5.8</c:v>
                </c:pt>
                <c:pt idx="29">
                  <c:v>-3.8</c:v>
                </c:pt>
                <c:pt idx="30">
                  <c:v>-1.8</c:v>
                </c:pt>
                <c:pt idx="31">
                  <c:v>3.4</c:v>
                </c:pt>
                <c:pt idx="32">
                  <c:v>9.4</c:v>
                </c:pt>
                <c:pt idx="33">
                  <c:v>8</c:v>
                </c:pt>
                <c:pt idx="34">
                  <c:v>7.8</c:v>
                </c:pt>
                <c:pt idx="35">
                  <c:v>7.2</c:v>
                </c:pt>
                <c:pt idx="36">
                  <c:v>4.4000000000000004</c:v>
                </c:pt>
              </c:numCache>
            </c:numRef>
          </c:val>
          <c:smooth val="0"/>
          <c:extLst>
            <c:ext xmlns:c16="http://schemas.microsoft.com/office/drawing/2014/chart" uri="{C3380CC4-5D6E-409C-BE32-E72D297353CC}">
              <c16:uniqueId val="{00000002-40D1-4608-9A84-A4BF617A658E}"/>
            </c:ext>
          </c:extLst>
        </c:ser>
        <c:dLbls>
          <c:showLegendKey val="0"/>
          <c:showVal val="0"/>
          <c:showCatName val="0"/>
          <c:showSerName val="0"/>
          <c:showPercent val="0"/>
          <c:showBubbleSize val="0"/>
        </c:dLbls>
        <c:marker val="1"/>
        <c:smooth val="0"/>
        <c:axId val="83814656"/>
        <c:axId val="92012928"/>
      </c:lineChart>
      <c:catAx>
        <c:axId val="83814656"/>
        <c:scaling>
          <c:orientation val="minMax"/>
        </c:scaling>
        <c:delete val="0"/>
        <c:axPos val="b"/>
        <c:numFmt formatCode="General" sourceLinked="1"/>
        <c:majorTickMark val="in"/>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宋体"/>
                <a:ea typeface="宋体"/>
                <a:cs typeface="宋体"/>
              </a:defRPr>
            </a:pPr>
            <a:endParaRPr lang="zh-CN"/>
          </a:p>
        </c:txPr>
        <c:crossAx val="92012928"/>
        <c:crosses val="autoZero"/>
        <c:auto val="1"/>
        <c:lblAlgn val="ctr"/>
        <c:lblOffset val="100"/>
        <c:tickLblSkip val="1"/>
        <c:tickMarkSkip val="1"/>
        <c:noMultiLvlLbl val="0"/>
      </c:catAx>
      <c:valAx>
        <c:axId val="92012928"/>
        <c:scaling>
          <c:orientation val="minMax"/>
        </c:scaling>
        <c:delete val="0"/>
        <c:axPos val="l"/>
        <c:majorGridlines>
          <c:spPr>
            <a:ln w="3175">
              <a:solidFill>
                <a:srgbClr val="000000"/>
              </a:solidFill>
              <a:prstDash val="solid"/>
            </a:ln>
          </c:spPr>
        </c:majorGridlines>
        <c:numFmt formatCode="General" sourceLinked="1"/>
        <c:majorTickMark val="in"/>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宋体"/>
                <a:ea typeface="宋体"/>
                <a:cs typeface="宋体"/>
              </a:defRPr>
            </a:pPr>
            <a:endParaRPr lang="zh-CN"/>
          </a:p>
        </c:txPr>
        <c:crossAx val="83814656"/>
        <c:crosses val="autoZero"/>
        <c:crossBetween val="midCat"/>
      </c:valAx>
      <c:spPr>
        <a:solidFill>
          <a:srgbClr val="FFFFFF"/>
        </a:solidFill>
        <a:ln w="3175">
          <a:solidFill>
            <a:srgbClr val="000000"/>
          </a:solidFill>
          <a:prstDash val="solid"/>
        </a:ln>
      </c:spPr>
    </c:plotArea>
    <c:legend>
      <c:legendPos val="b"/>
      <c:layout>
        <c:manualLayout>
          <c:xMode val="edge"/>
          <c:yMode val="edge"/>
          <c:x val="0.14070369344535449"/>
          <c:y val="0.90344827586206655"/>
          <c:w val="0.71859419582602357"/>
          <c:h val="7.5862068965517324E-2"/>
        </c:manualLayout>
      </c:layout>
      <c:overlay val="0"/>
      <c:spPr>
        <a:solidFill>
          <a:srgbClr val="FFFFFF"/>
        </a:solidFill>
        <a:ln w="25400">
          <a:noFill/>
        </a:ln>
      </c:spPr>
      <c:txPr>
        <a:bodyPr/>
        <a:lstStyle/>
        <a:p>
          <a:pPr>
            <a:defRPr sz="1100" b="0" i="0" u="none" strike="noStrike" baseline="0">
              <a:solidFill>
                <a:srgbClr val="000000"/>
              </a:solidFill>
              <a:latin typeface="宋体"/>
              <a:ea typeface="宋体"/>
              <a:cs typeface="宋体"/>
            </a:defRPr>
          </a:pPr>
          <a:endParaRPr lang="zh-CN"/>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宋体"/>
          <a:ea typeface="宋体"/>
          <a:cs typeface="宋体"/>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宋体"/>
                <a:ea typeface="宋体"/>
                <a:cs typeface="宋体"/>
              </a:defRPr>
            </a:pPr>
            <a:r>
              <a:rPr lang="zh-CN" altLang="en-US" sz="1200" b="0" i="0" u="none" strike="noStrike" baseline="0">
                <a:solidFill>
                  <a:srgbClr val="000000"/>
                </a:solidFill>
                <a:latin typeface="宋体"/>
                <a:ea typeface="宋体"/>
              </a:rPr>
              <a:t>投资与消费单季同比增长率（%）</a:t>
            </a:r>
          </a:p>
        </c:rich>
      </c:tx>
      <c:layout>
        <c:manualLayout>
          <c:xMode val="edge"/>
          <c:yMode val="edge"/>
          <c:x val="0.27095577965035206"/>
          <c:y val="3.5483870967742012E-2"/>
        </c:manualLayout>
      </c:layout>
      <c:overlay val="0"/>
      <c:spPr>
        <a:noFill/>
        <a:ln w="25400">
          <a:noFill/>
        </a:ln>
      </c:spPr>
    </c:title>
    <c:autoTitleDeleted val="0"/>
    <c:plotArea>
      <c:layout>
        <c:manualLayout>
          <c:layoutTarget val="inner"/>
          <c:xMode val="edge"/>
          <c:yMode val="edge"/>
          <c:x val="6.8226250735278715E-2"/>
          <c:y val="0.19032288042288373"/>
          <c:w val="0.86160008071409366"/>
          <c:h val="0.47742010682350616"/>
        </c:manualLayout>
      </c:layout>
      <c:lineChart>
        <c:grouping val="standard"/>
        <c:varyColors val="0"/>
        <c:ser>
          <c:idx val="0"/>
          <c:order val="0"/>
          <c:tx>
            <c:v>固定资产投资</c:v>
          </c:tx>
          <c:spPr>
            <a:ln w="12700">
              <a:solidFill>
                <a:srgbClr val="000080"/>
              </a:solidFill>
              <a:prstDash val="solid"/>
            </a:ln>
          </c:spPr>
          <c:marker>
            <c:symbol val="diamond"/>
            <c:size val="5"/>
            <c:spPr>
              <a:solidFill>
                <a:srgbClr val="000080"/>
              </a:solidFill>
              <a:ln>
                <a:solidFill>
                  <a:srgbClr val="000080"/>
                </a:solidFill>
                <a:prstDash val="solid"/>
              </a:ln>
            </c:spPr>
          </c:marker>
          <c:cat>
            <c:strRef>
              <c:f>Sheet1!$A$28:$A$64</c:f>
              <c:strCache>
                <c:ptCount val="37"/>
                <c:pt idx="0">
                  <c:v>2009q1</c:v>
                </c:pt>
                <c:pt idx="1">
                  <c:v>2009q2</c:v>
                </c:pt>
                <c:pt idx="2">
                  <c:v>2009q3</c:v>
                </c:pt>
                <c:pt idx="3">
                  <c:v>2009q4</c:v>
                </c:pt>
                <c:pt idx="4">
                  <c:v>2010q1</c:v>
                </c:pt>
                <c:pt idx="5">
                  <c:v>2010q2</c:v>
                </c:pt>
                <c:pt idx="6">
                  <c:v>2010q3</c:v>
                </c:pt>
                <c:pt idx="7">
                  <c:v>2010q4</c:v>
                </c:pt>
                <c:pt idx="8">
                  <c:v>2011q1</c:v>
                </c:pt>
                <c:pt idx="9">
                  <c:v>2011q2</c:v>
                </c:pt>
                <c:pt idx="10">
                  <c:v>2011q3</c:v>
                </c:pt>
                <c:pt idx="11">
                  <c:v>2011q4</c:v>
                </c:pt>
                <c:pt idx="12">
                  <c:v>2012q1</c:v>
                </c:pt>
                <c:pt idx="13">
                  <c:v>2012q2</c:v>
                </c:pt>
                <c:pt idx="14">
                  <c:v>2012q3</c:v>
                </c:pt>
                <c:pt idx="15">
                  <c:v>2012q4</c:v>
                </c:pt>
                <c:pt idx="16">
                  <c:v>2013q1</c:v>
                </c:pt>
                <c:pt idx="17">
                  <c:v>2013q2</c:v>
                </c:pt>
                <c:pt idx="18">
                  <c:v>2013q3</c:v>
                </c:pt>
                <c:pt idx="19">
                  <c:v>2013q4</c:v>
                </c:pt>
                <c:pt idx="20">
                  <c:v>2014q1</c:v>
                </c:pt>
                <c:pt idx="21">
                  <c:v>2014q2</c:v>
                </c:pt>
                <c:pt idx="22">
                  <c:v>2014q3</c:v>
                </c:pt>
                <c:pt idx="23">
                  <c:v>2014q4</c:v>
                </c:pt>
                <c:pt idx="24">
                  <c:v>2015q1</c:v>
                </c:pt>
                <c:pt idx="25">
                  <c:v>2015q2</c:v>
                </c:pt>
                <c:pt idx="26">
                  <c:v>2015q3</c:v>
                </c:pt>
                <c:pt idx="27">
                  <c:v>2015q4</c:v>
                </c:pt>
                <c:pt idx="28">
                  <c:v>2016q1</c:v>
                </c:pt>
                <c:pt idx="29">
                  <c:v>2016q2</c:v>
                </c:pt>
                <c:pt idx="30">
                  <c:v>2016q3</c:v>
                </c:pt>
                <c:pt idx="31">
                  <c:v>2016q4</c:v>
                </c:pt>
                <c:pt idx="32">
                  <c:v>2017q1</c:v>
                </c:pt>
                <c:pt idx="33">
                  <c:v>2017q2</c:v>
                </c:pt>
                <c:pt idx="34">
                  <c:v>2017q3</c:v>
                </c:pt>
                <c:pt idx="35">
                  <c:v>2017q4</c:v>
                </c:pt>
                <c:pt idx="36">
                  <c:v>2018q1</c:v>
                </c:pt>
              </c:strCache>
            </c:strRef>
          </c:cat>
          <c:val>
            <c:numRef>
              <c:f>Sheet1!$B$28:$B$64</c:f>
              <c:numCache>
                <c:formatCode>General</c:formatCode>
                <c:ptCount val="37"/>
                <c:pt idx="0">
                  <c:v>28.8</c:v>
                </c:pt>
                <c:pt idx="1">
                  <c:v>38.200000000000003</c:v>
                </c:pt>
                <c:pt idx="2">
                  <c:v>33.200000000000003</c:v>
                </c:pt>
                <c:pt idx="3">
                  <c:v>20.2</c:v>
                </c:pt>
                <c:pt idx="4">
                  <c:v>25.6</c:v>
                </c:pt>
                <c:pt idx="5">
                  <c:v>24.4</c:v>
                </c:pt>
                <c:pt idx="6">
                  <c:v>22</c:v>
                </c:pt>
                <c:pt idx="7">
                  <c:v>23.2</c:v>
                </c:pt>
                <c:pt idx="8">
                  <c:v>25</c:v>
                </c:pt>
                <c:pt idx="9">
                  <c:v>26.2</c:v>
                </c:pt>
                <c:pt idx="10">
                  <c:v>23.5</c:v>
                </c:pt>
                <c:pt idx="11">
                  <c:v>20.5</c:v>
                </c:pt>
                <c:pt idx="12">
                  <c:v>20.9</c:v>
                </c:pt>
                <c:pt idx="13">
                  <c:v>19.899999999999999</c:v>
                </c:pt>
                <c:pt idx="14">
                  <c:v>20.7</c:v>
                </c:pt>
                <c:pt idx="15">
                  <c:v>20.9</c:v>
                </c:pt>
                <c:pt idx="16">
                  <c:v>20.9</c:v>
                </c:pt>
                <c:pt idx="17">
                  <c:v>19.3</c:v>
                </c:pt>
                <c:pt idx="18">
                  <c:v>20.399999999999999</c:v>
                </c:pt>
                <c:pt idx="19">
                  <c:v>17.8</c:v>
                </c:pt>
                <c:pt idx="20">
                  <c:v>17.600000000000001</c:v>
                </c:pt>
                <c:pt idx="21">
                  <c:v>17</c:v>
                </c:pt>
                <c:pt idx="22">
                  <c:v>13.7</c:v>
                </c:pt>
                <c:pt idx="23">
                  <c:v>14.5</c:v>
                </c:pt>
                <c:pt idx="24">
                  <c:v>13.5</c:v>
                </c:pt>
                <c:pt idx="25">
                  <c:v>9.3000000000000007</c:v>
                </c:pt>
                <c:pt idx="26">
                  <c:v>8.1</c:v>
                </c:pt>
                <c:pt idx="27">
                  <c:v>9.1</c:v>
                </c:pt>
                <c:pt idx="28">
                  <c:v>10.7</c:v>
                </c:pt>
                <c:pt idx="29">
                  <c:v>7.3</c:v>
                </c:pt>
                <c:pt idx="30">
                  <c:v>6.6</c:v>
                </c:pt>
                <c:pt idx="31">
                  <c:v>7.8</c:v>
                </c:pt>
                <c:pt idx="32">
                  <c:v>9.2000000000000011</c:v>
                </c:pt>
                <c:pt idx="33">
                  <c:v>8</c:v>
                </c:pt>
                <c:pt idx="34">
                  <c:v>6.1</c:v>
                </c:pt>
                <c:pt idx="35">
                  <c:v>5.5</c:v>
                </c:pt>
                <c:pt idx="36">
                  <c:v>7.5</c:v>
                </c:pt>
              </c:numCache>
            </c:numRef>
          </c:val>
          <c:smooth val="0"/>
          <c:extLst>
            <c:ext xmlns:c16="http://schemas.microsoft.com/office/drawing/2014/chart" uri="{C3380CC4-5D6E-409C-BE32-E72D297353CC}">
              <c16:uniqueId val="{00000000-D11A-4574-81F4-76204A861044}"/>
            </c:ext>
          </c:extLst>
        </c:ser>
        <c:ser>
          <c:idx val="1"/>
          <c:order val="1"/>
          <c:tx>
            <c:v>社会消费品零售总额</c:v>
          </c:tx>
          <c:spPr>
            <a:ln w="12700">
              <a:solidFill>
                <a:srgbClr val="FF00FF"/>
              </a:solidFill>
              <a:prstDash val="solid"/>
            </a:ln>
          </c:spPr>
          <c:marker>
            <c:symbol val="square"/>
            <c:size val="5"/>
            <c:spPr>
              <a:solidFill>
                <a:srgbClr val="FF00FF"/>
              </a:solidFill>
              <a:ln>
                <a:solidFill>
                  <a:srgbClr val="FF00FF"/>
                </a:solidFill>
                <a:prstDash val="solid"/>
              </a:ln>
            </c:spPr>
          </c:marker>
          <c:cat>
            <c:strRef>
              <c:f>Sheet1!$A$28:$A$64</c:f>
              <c:strCache>
                <c:ptCount val="37"/>
                <c:pt idx="0">
                  <c:v>2009q1</c:v>
                </c:pt>
                <c:pt idx="1">
                  <c:v>2009q2</c:v>
                </c:pt>
                <c:pt idx="2">
                  <c:v>2009q3</c:v>
                </c:pt>
                <c:pt idx="3">
                  <c:v>2009q4</c:v>
                </c:pt>
                <c:pt idx="4">
                  <c:v>2010q1</c:v>
                </c:pt>
                <c:pt idx="5">
                  <c:v>2010q2</c:v>
                </c:pt>
                <c:pt idx="6">
                  <c:v>2010q3</c:v>
                </c:pt>
                <c:pt idx="7">
                  <c:v>2010q4</c:v>
                </c:pt>
                <c:pt idx="8">
                  <c:v>2011q1</c:v>
                </c:pt>
                <c:pt idx="9">
                  <c:v>2011q2</c:v>
                </c:pt>
                <c:pt idx="10">
                  <c:v>2011q3</c:v>
                </c:pt>
                <c:pt idx="11">
                  <c:v>2011q4</c:v>
                </c:pt>
                <c:pt idx="12">
                  <c:v>2012q1</c:v>
                </c:pt>
                <c:pt idx="13">
                  <c:v>2012q2</c:v>
                </c:pt>
                <c:pt idx="14">
                  <c:v>2012q3</c:v>
                </c:pt>
                <c:pt idx="15">
                  <c:v>2012q4</c:v>
                </c:pt>
                <c:pt idx="16">
                  <c:v>2013q1</c:v>
                </c:pt>
                <c:pt idx="17">
                  <c:v>2013q2</c:v>
                </c:pt>
                <c:pt idx="18">
                  <c:v>2013q3</c:v>
                </c:pt>
                <c:pt idx="19">
                  <c:v>2013q4</c:v>
                </c:pt>
                <c:pt idx="20">
                  <c:v>2014q1</c:v>
                </c:pt>
                <c:pt idx="21">
                  <c:v>2014q2</c:v>
                </c:pt>
                <c:pt idx="22">
                  <c:v>2014q3</c:v>
                </c:pt>
                <c:pt idx="23">
                  <c:v>2014q4</c:v>
                </c:pt>
                <c:pt idx="24">
                  <c:v>2015q1</c:v>
                </c:pt>
                <c:pt idx="25">
                  <c:v>2015q2</c:v>
                </c:pt>
                <c:pt idx="26">
                  <c:v>2015q3</c:v>
                </c:pt>
                <c:pt idx="27">
                  <c:v>2015q4</c:v>
                </c:pt>
                <c:pt idx="28">
                  <c:v>2016q1</c:v>
                </c:pt>
                <c:pt idx="29">
                  <c:v>2016q2</c:v>
                </c:pt>
                <c:pt idx="30">
                  <c:v>2016q3</c:v>
                </c:pt>
                <c:pt idx="31">
                  <c:v>2016q4</c:v>
                </c:pt>
                <c:pt idx="32">
                  <c:v>2017q1</c:v>
                </c:pt>
                <c:pt idx="33">
                  <c:v>2017q2</c:v>
                </c:pt>
                <c:pt idx="34">
                  <c:v>2017q3</c:v>
                </c:pt>
                <c:pt idx="35">
                  <c:v>2017q4</c:v>
                </c:pt>
                <c:pt idx="36">
                  <c:v>2018q1</c:v>
                </c:pt>
              </c:strCache>
            </c:strRef>
          </c:cat>
          <c:val>
            <c:numRef>
              <c:f>Sheet1!$C$28:$C$64</c:f>
              <c:numCache>
                <c:formatCode>General</c:formatCode>
                <c:ptCount val="37"/>
                <c:pt idx="0">
                  <c:v>15</c:v>
                </c:pt>
                <c:pt idx="1">
                  <c:v>15</c:v>
                </c:pt>
                <c:pt idx="2">
                  <c:v>15.3</c:v>
                </c:pt>
                <c:pt idx="3">
                  <c:v>16.7</c:v>
                </c:pt>
                <c:pt idx="4">
                  <c:v>17.899999999999999</c:v>
                </c:pt>
                <c:pt idx="5">
                  <c:v>18.5</c:v>
                </c:pt>
                <c:pt idx="6">
                  <c:v>18.5</c:v>
                </c:pt>
                <c:pt idx="7">
                  <c:v>18.7</c:v>
                </c:pt>
                <c:pt idx="8">
                  <c:v>16.3</c:v>
                </c:pt>
                <c:pt idx="9">
                  <c:v>17.3</c:v>
                </c:pt>
                <c:pt idx="10">
                  <c:v>17.399999999999999</c:v>
                </c:pt>
                <c:pt idx="11">
                  <c:v>17.399999999999999</c:v>
                </c:pt>
                <c:pt idx="12">
                  <c:v>14.8</c:v>
                </c:pt>
                <c:pt idx="13">
                  <c:v>14</c:v>
                </c:pt>
                <c:pt idx="14">
                  <c:v>13.5</c:v>
                </c:pt>
                <c:pt idx="15">
                  <c:v>14.9</c:v>
                </c:pt>
                <c:pt idx="16">
                  <c:v>12.4</c:v>
                </c:pt>
                <c:pt idx="17">
                  <c:v>13</c:v>
                </c:pt>
                <c:pt idx="18">
                  <c:v>13.3</c:v>
                </c:pt>
                <c:pt idx="19">
                  <c:v>13.7</c:v>
                </c:pt>
                <c:pt idx="20">
                  <c:v>12</c:v>
                </c:pt>
                <c:pt idx="21">
                  <c:v>12.2</c:v>
                </c:pt>
                <c:pt idx="22">
                  <c:v>11.8</c:v>
                </c:pt>
                <c:pt idx="23">
                  <c:v>12</c:v>
                </c:pt>
                <c:pt idx="24">
                  <c:v>10.6</c:v>
                </c:pt>
                <c:pt idx="25">
                  <c:v>10.200000000000001</c:v>
                </c:pt>
                <c:pt idx="26">
                  <c:v>10.7</c:v>
                </c:pt>
                <c:pt idx="27">
                  <c:v>11.3</c:v>
                </c:pt>
                <c:pt idx="28">
                  <c:v>10.3</c:v>
                </c:pt>
                <c:pt idx="29">
                  <c:v>10.3</c:v>
                </c:pt>
                <c:pt idx="30">
                  <c:v>10.6</c:v>
                </c:pt>
                <c:pt idx="31">
                  <c:v>10.4</c:v>
                </c:pt>
                <c:pt idx="32">
                  <c:v>10</c:v>
                </c:pt>
                <c:pt idx="33">
                  <c:v>10.8</c:v>
                </c:pt>
                <c:pt idx="34">
                  <c:v>10.4</c:v>
                </c:pt>
                <c:pt idx="35">
                  <c:v>9.6</c:v>
                </c:pt>
                <c:pt idx="36">
                  <c:v>9.8000000000000007</c:v>
                </c:pt>
              </c:numCache>
            </c:numRef>
          </c:val>
          <c:smooth val="0"/>
          <c:extLst>
            <c:ext xmlns:c16="http://schemas.microsoft.com/office/drawing/2014/chart" uri="{C3380CC4-5D6E-409C-BE32-E72D297353CC}">
              <c16:uniqueId val="{00000001-D11A-4574-81F4-76204A861044}"/>
            </c:ext>
          </c:extLst>
        </c:ser>
        <c:dLbls>
          <c:showLegendKey val="0"/>
          <c:showVal val="0"/>
          <c:showCatName val="0"/>
          <c:showSerName val="0"/>
          <c:showPercent val="0"/>
          <c:showBubbleSize val="0"/>
        </c:dLbls>
        <c:marker val="1"/>
        <c:smooth val="0"/>
        <c:axId val="92038272"/>
        <c:axId val="92040192"/>
      </c:lineChart>
      <c:catAx>
        <c:axId val="92038272"/>
        <c:scaling>
          <c:orientation val="minMax"/>
        </c:scaling>
        <c:delete val="0"/>
        <c:axPos val="b"/>
        <c:numFmt formatCode="General" sourceLinked="1"/>
        <c:majorTickMark val="in"/>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宋体"/>
                <a:ea typeface="宋体"/>
                <a:cs typeface="宋体"/>
              </a:defRPr>
            </a:pPr>
            <a:endParaRPr lang="zh-CN"/>
          </a:p>
        </c:txPr>
        <c:crossAx val="92040192"/>
        <c:crosses val="autoZero"/>
        <c:auto val="1"/>
        <c:lblAlgn val="ctr"/>
        <c:lblOffset val="100"/>
        <c:tickLblSkip val="1"/>
        <c:tickMarkSkip val="1"/>
        <c:noMultiLvlLbl val="0"/>
      </c:catAx>
      <c:valAx>
        <c:axId val="92040192"/>
        <c:scaling>
          <c:orientation val="minMax"/>
        </c:scaling>
        <c:delete val="0"/>
        <c:axPos val="l"/>
        <c:majorGridlines>
          <c:spPr>
            <a:ln w="3175">
              <a:solidFill>
                <a:srgbClr val="000000"/>
              </a:solidFill>
              <a:prstDash val="solid"/>
            </a:ln>
          </c:spPr>
        </c:majorGridlines>
        <c:numFmt formatCode="General" sourceLinked="1"/>
        <c:majorTickMark val="in"/>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宋体"/>
                <a:ea typeface="宋体"/>
                <a:cs typeface="宋体"/>
              </a:defRPr>
            </a:pPr>
            <a:endParaRPr lang="zh-CN"/>
          </a:p>
        </c:txPr>
        <c:crossAx val="92038272"/>
        <c:crosses val="autoZero"/>
        <c:crossBetween val="midCat"/>
      </c:valAx>
      <c:spPr>
        <a:solidFill>
          <a:srgbClr val="FFFFFF"/>
        </a:solidFill>
        <a:ln w="12700">
          <a:solidFill>
            <a:srgbClr val="808080"/>
          </a:solidFill>
          <a:prstDash val="solid"/>
        </a:ln>
      </c:spPr>
    </c:plotArea>
    <c:legend>
      <c:legendPos val="b"/>
      <c:layout>
        <c:manualLayout>
          <c:xMode val="edge"/>
          <c:yMode val="edge"/>
          <c:x val="0.22027331378899273"/>
          <c:y val="0.90967877402421471"/>
          <c:w val="0.5594552142970437"/>
          <c:h val="7.0967741935484024E-2"/>
        </c:manualLayout>
      </c:layout>
      <c:overlay val="0"/>
      <c:spPr>
        <a:solidFill>
          <a:srgbClr val="FFFFFF"/>
        </a:solidFill>
        <a:ln w="25400">
          <a:noFill/>
        </a:ln>
      </c:spPr>
      <c:txPr>
        <a:bodyPr/>
        <a:lstStyle/>
        <a:p>
          <a:pPr>
            <a:defRPr sz="1100" b="0" i="0" u="none" strike="noStrike" baseline="0">
              <a:solidFill>
                <a:srgbClr val="000000"/>
              </a:solidFill>
              <a:latin typeface="宋体"/>
              <a:ea typeface="宋体"/>
              <a:cs typeface="宋体"/>
            </a:defRPr>
          </a:pPr>
          <a:endParaRPr lang="zh-CN"/>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宋体"/>
          <a:ea typeface="宋体"/>
          <a:cs typeface="宋体"/>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zh-CN" altLang="en-US" sz="1200" b="0" i="0" u="none" strike="noStrike" baseline="0">
                <a:solidFill>
                  <a:srgbClr val="000000"/>
                </a:solidFill>
                <a:latin typeface="Arial"/>
                <a:cs typeface="Arial"/>
              </a:rPr>
              <a:t>进出口单季增长率与贸易顺差单季值（%，亿美元）</a:t>
            </a:r>
          </a:p>
        </c:rich>
      </c:tx>
      <c:layout>
        <c:manualLayout>
          <c:xMode val="edge"/>
          <c:yMode val="edge"/>
          <c:x val="0.18619146290924171"/>
          <c:y val="6.1290322580645158E-2"/>
        </c:manualLayout>
      </c:layout>
      <c:overlay val="0"/>
      <c:spPr>
        <a:noFill/>
        <a:ln w="25400">
          <a:noFill/>
        </a:ln>
      </c:spPr>
    </c:title>
    <c:autoTitleDeleted val="0"/>
    <c:plotArea>
      <c:layout>
        <c:manualLayout>
          <c:layoutTarget val="inner"/>
          <c:xMode val="edge"/>
          <c:yMode val="edge"/>
          <c:x val="7.6400742453395634E-2"/>
          <c:y val="0.19677450348806622"/>
          <c:w val="0.83191919560364169"/>
          <c:h val="0.65161392958343523"/>
        </c:manualLayout>
      </c:layout>
      <c:barChart>
        <c:barDir val="col"/>
        <c:grouping val="clustered"/>
        <c:varyColors val="0"/>
        <c:ser>
          <c:idx val="2"/>
          <c:order val="2"/>
          <c:tx>
            <c:v>顺差</c:v>
          </c:tx>
          <c:spPr>
            <a:ln w="12700">
              <a:solidFill>
                <a:srgbClr val="800080"/>
              </a:solidFill>
              <a:prstDash val="solid"/>
            </a:ln>
          </c:spPr>
          <c:invertIfNegative val="0"/>
          <c:cat>
            <c:strRef>
              <c:f>进出口增长率及汇率!$A$28:$A$64</c:f>
              <c:strCache>
                <c:ptCount val="37"/>
                <c:pt idx="0">
                  <c:v>2009q1</c:v>
                </c:pt>
                <c:pt idx="1">
                  <c:v>2009q2</c:v>
                </c:pt>
                <c:pt idx="2">
                  <c:v>2009q3</c:v>
                </c:pt>
                <c:pt idx="3">
                  <c:v>2009q4</c:v>
                </c:pt>
                <c:pt idx="4">
                  <c:v>2010q1</c:v>
                </c:pt>
                <c:pt idx="5">
                  <c:v>2010q2</c:v>
                </c:pt>
                <c:pt idx="6">
                  <c:v>2010q3</c:v>
                </c:pt>
                <c:pt idx="7">
                  <c:v>2010q4</c:v>
                </c:pt>
                <c:pt idx="8">
                  <c:v>2011q1</c:v>
                </c:pt>
                <c:pt idx="9">
                  <c:v>2011q2</c:v>
                </c:pt>
                <c:pt idx="10">
                  <c:v>2011q3</c:v>
                </c:pt>
                <c:pt idx="11">
                  <c:v>2011q4</c:v>
                </c:pt>
                <c:pt idx="12">
                  <c:v>2012q1</c:v>
                </c:pt>
                <c:pt idx="13">
                  <c:v>2012q2</c:v>
                </c:pt>
                <c:pt idx="14">
                  <c:v>2012q3</c:v>
                </c:pt>
                <c:pt idx="15">
                  <c:v>2012q4</c:v>
                </c:pt>
                <c:pt idx="16">
                  <c:v>2013q1</c:v>
                </c:pt>
                <c:pt idx="17">
                  <c:v>2013q2</c:v>
                </c:pt>
                <c:pt idx="18">
                  <c:v>2013q3</c:v>
                </c:pt>
                <c:pt idx="19">
                  <c:v>2013q4</c:v>
                </c:pt>
                <c:pt idx="20">
                  <c:v>2014q1</c:v>
                </c:pt>
                <c:pt idx="21">
                  <c:v>2014q2</c:v>
                </c:pt>
                <c:pt idx="22">
                  <c:v>2014q3</c:v>
                </c:pt>
                <c:pt idx="23">
                  <c:v>2014q4</c:v>
                </c:pt>
                <c:pt idx="24">
                  <c:v>2015q1</c:v>
                </c:pt>
                <c:pt idx="25">
                  <c:v>2015q2</c:v>
                </c:pt>
                <c:pt idx="26">
                  <c:v>2015q3</c:v>
                </c:pt>
                <c:pt idx="27">
                  <c:v>2015q4</c:v>
                </c:pt>
                <c:pt idx="28">
                  <c:v>2016q1</c:v>
                </c:pt>
                <c:pt idx="29">
                  <c:v>2016q2</c:v>
                </c:pt>
                <c:pt idx="30">
                  <c:v>2016q3</c:v>
                </c:pt>
                <c:pt idx="31">
                  <c:v>2016q4</c:v>
                </c:pt>
                <c:pt idx="32">
                  <c:v>2017q1</c:v>
                </c:pt>
                <c:pt idx="33">
                  <c:v>2017q2</c:v>
                </c:pt>
                <c:pt idx="34">
                  <c:v>2017q3</c:v>
                </c:pt>
                <c:pt idx="35">
                  <c:v>2017q4</c:v>
                </c:pt>
                <c:pt idx="36">
                  <c:v>2018q1</c:v>
                </c:pt>
              </c:strCache>
            </c:strRef>
          </c:cat>
          <c:val>
            <c:numRef>
              <c:f>进出口增长率及汇率!$D$28:$D$64</c:f>
              <c:numCache>
                <c:formatCode>General</c:formatCode>
                <c:ptCount val="37"/>
                <c:pt idx="0">
                  <c:v>623</c:v>
                </c:pt>
                <c:pt idx="1">
                  <c:v>346</c:v>
                </c:pt>
                <c:pt idx="2">
                  <c:v>386</c:v>
                </c:pt>
                <c:pt idx="3">
                  <c:v>606</c:v>
                </c:pt>
                <c:pt idx="4">
                  <c:v>144.9</c:v>
                </c:pt>
                <c:pt idx="5">
                  <c:v>408.1</c:v>
                </c:pt>
                <c:pt idx="6">
                  <c:v>653</c:v>
                </c:pt>
                <c:pt idx="7">
                  <c:v>625</c:v>
                </c:pt>
                <c:pt idx="8">
                  <c:v>-10</c:v>
                </c:pt>
                <c:pt idx="9">
                  <c:v>-8.2000000000000011</c:v>
                </c:pt>
                <c:pt idx="10">
                  <c:v>18.899999999999999</c:v>
                </c:pt>
                <c:pt idx="11">
                  <c:v>-3.4</c:v>
                </c:pt>
                <c:pt idx="12">
                  <c:v>6.7</c:v>
                </c:pt>
                <c:pt idx="13">
                  <c:v>682.5</c:v>
                </c:pt>
                <c:pt idx="14">
                  <c:v>800.5</c:v>
                </c:pt>
                <c:pt idx="15">
                  <c:v>821.3</c:v>
                </c:pt>
                <c:pt idx="16">
                  <c:v>430.7</c:v>
                </c:pt>
                <c:pt idx="17">
                  <c:v>648.79999999999995</c:v>
                </c:pt>
                <c:pt idx="18">
                  <c:v>614.5</c:v>
                </c:pt>
                <c:pt idx="19">
                  <c:v>903.5</c:v>
                </c:pt>
                <c:pt idx="20">
                  <c:v>167.4</c:v>
                </c:pt>
                <c:pt idx="21">
                  <c:v>861.3</c:v>
                </c:pt>
                <c:pt idx="22">
                  <c:v>1287.3</c:v>
                </c:pt>
                <c:pt idx="23">
                  <c:v>1508.6</c:v>
                </c:pt>
                <c:pt idx="24">
                  <c:v>1237</c:v>
                </c:pt>
                <c:pt idx="25">
                  <c:v>1364</c:v>
                </c:pt>
                <c:pt idx="26">
                  <c:v>1493</c:v>
                </c:pt>
                <c:pt idx="27">
                  <c:v>1490</c:v>
                </c:pt>
                <c:pt idx="28">
                  <c:v>1257</c:v>
                </c:pt>
                <c:pt idx="29">
                  <c:v>1325</c:v>
                </c:pt>
                <c:pt idx="30">
                  <c:v>1334</c:v>
                </c:pt>
                <c:pt idx="31">
                  <c:v>900</c:v>
                </c:pt>
                <c:pt idx="32">
                  <c:v>660.6</c:v>
                </c:pt>
                <c:pt idx="33">
                  <c:v>1886.8</c:v>
                </c:pt>
                <c:pt idx="34">
                  <c:v>514.5</c:v>
                </c:pt>
                <c:pt idx="35">
                  <c:v>1480</c:v>
                </c:pt>
                <c:pt idx="36">
                  <c:v>518.70000000000005</c:v>
                </c:pt>
              </c:numCache>
            </c:numRef>
          </c:val>
          <c:extLst>
            <c:ext xmlns:c16="http://schemas.microsoft.com/office/drawing/2014/chart" uri="{C3380CC4-5D6E-409C-BE32-E72D297353CC}">
              <c16:uniqueId val="{00000000-C765-4192-ABC3-076392F76B79}"/>
            </c:ext>
          </c:extLst>
        </c:ser>
        <c:dLbls>
          <c:showLegendKey val="0"/>
          <c:showVal val="0"/>
          <c:showCatName val="0"/>
          <c:showSerName val="0"/>
          <c:showPercent val="0"/>
          <c:showBubbleSize val="0"/>
        </c:dLbls>
        <c:gapWidth val="210"/>
        <c:axId val="92088192"/>
        <c:axId val="92089728"/>
      </c:barChart>
      <c:lineChart>
        <c:grouping val="standard"/>
        <c:varyColors val="0"/>
        <c:ser>
          <c:idx val="1"/>
          <c:order val="0"/>
          <c:tx>
            <c:v>进口</c:v>
          </c:tx>
          <c:spPr>
            <a:ln w="12700">
              <a:solidFill>
                <a:srgbClr val="FF00FF"/>
              </a:solidFill>
              <a:prstDash val="solid"/>
            </a:ln>
          </c:spPr>
          <c:marker>
            <c:symbol val="square"/>
            <c:size val="5"/>
            <c:spPr>
              <a:solidFill>
                <a:srgbClr val="FF00FF"/>
              </a:solidFill>
              <a:ln>
                <a:solidFill>
                  <a:srgbClr val="FF00FF"/>
                </a:solidFill>
                <a:prstDash val="solid"/>
              </a:ln>
            </c:spPr>
          </c:marker>
          <c:cat>
            <c:strRef>
              <c:f>进出口增长率及汇率!$A$28:$A$64</c:f>
              <c:strCache>
                <c:ptCount val="37"/>
                <c:pt idx="0">
                  <c:v>2009q1</c:v>
                </c:pt>
                <c:pt idx="1">
                  <c:v>2009q2</c:v>
                </c:pt>
                <c:pt idx="2">
                  <c:v>2009q3</c:v>
                </c:pt>
                <c:pt idx="3">
                  <c:v>2009q4</c:v>
                </c:pt>
                <c:pt idx="4">
                  <c:v>2010q1</c:v>
                </c:pt>
                <c:pt idx="5">
                  <c:v>2010q2</c:v>
                </c:pt>
                <c:pt idx="6">
                  <c:v>2010q3</c:v>
                </c:pt>
                <c:pt idx="7">
                  <c:v>2010q4</c:v>
                </c:pt>
                <c:pt idx="8">
                  <c:v>2011q1</c:v>
                </c:pt>
                <c:pt idx="9">
                  <c:v>2011q2</c:v>
                </c:pt>
                <c:pt idx="10">
                  <c:v>2011q3</c:v>
                </c:pt>
                <c:pt idx="11">
                  <c:v>2011q4</c:v>
                </c:pt>
                <c:pt idx="12">
                  <c:v>2012q1</c:v>
                </c:pt>
                <c:pt idx="13">
                  <c:v>2012q2</c:v>
                </c:pt>
                <c:pt idx="14">
                  <c:v>2012q3</c:v>
                </c:pt>
                <c:pt idx="15">
                  <c:v>2012q4</c:v>
                </c:pt>
                <c:pt idx="16">
                  <c:v>2013q1</c:v>
                </c:pt>
                <c:pt idx="17">
                  <c:v>2013q2</c:v>
                </c:pt>
                <c:pt idx="18">
                  <c:v>2013q3</c:v>
                </c:pt>
                <c:pt idx="19">
                  <c:v>2013q4</c:v>
                </c:pt>
                <c:pt idx="20">
                  <c:v>2014q1</c:v>
                </c:pt>
                <c:pt idx="21">
                  <c:v>2014q2</c:v>
                </c:pt>
                <c:pt idx="22">
                  <c:v>2014q3</c:v>
                </c:pt>
                <c:pt idx="23">
                  <c:v>2014q4</c:v>
                </c:pt>
                <c:pt idx="24">
                  <c:v>2015q1</c:v>
                </c:pt>
                <c:pt idx="25">
                  <c:v>2015q2</c:v>
                </c:pt>
                <c:pt idx="26">
                  <c:v>2015q3</c:v>
                </c:pt>
                <c:pt idx="27">
                  <c:v>2015q4</c:v>
                </c:pt>
                <c:pt idx="28">
                  <c:v>2016q1</c:v>
                </c:pt>
                <c:pt idx="29">
                  <c:v>2016q2</c:v>
                </c:pt>
                <c:pt idx="30">
                  <c:v>2016q3</c:v>
                </c:pt>
                <c:pt idx="31">
                  <c:v>2016q4</c:v>
                </c:pt>
                <c:pt idx="32">
                  <c:v>2017q1</c:v>
                </c:pt>
                <c:pt idx="33">
                  <c:v>2017q2</c:v>
                </c:pt>
                <c:pt idx="34">
                  <c:v>2017q3</c:v>
                </c:pt>
                <c:pt idx="35">
                  <c:v>2017q4</c:v>
                </c:pt>
                <c:pt idx="36">
                  <c:v>2018q1</c:v>
                </c:pt>
              </c:strCache>
            </c:strRef>
          </c:cat>
          <c:val>
            <c:numRef>
              <c:f>进出口增长率及汇率!$B$28:$B$64</c:f>
              <c:numCache>
                <c:formatCode>General</c:formatCode>
                <c:ptCount val="37"/>
                <c:pt idx="0">
                  <c:v>-30.9</c:v>
                </c:pt>
                <c:pt idx="1">
                  <c:v>-19.899999999999999</c:v>
                </c:pt>
                <c:pt idx="2">
                  <c:v>-10.4</c:v>
                </c:pt>
                <c:pt idx="3">
                  <c:v>-16.399999999999999</c:v>
                </c:pt>
                <c:pt idx="4">
                  <c:v>64.599999999999994</c:v>
                </c:pt>
                <c:pt idx="5">
                  <c:v>40.800000000000004</c:v>
                </c:pt>
                <c:pt idx="6">
                  <c:v>21.8</c:v>
                </c:pt>
                <c:pt idx="7">
                  <c:v>27.6</c:v>
                </c:pt>
                <c:pt idx="8">
                  <c:v>32.6</c:v>
                </c:pt>
                <c:pt idx="9">
                  <c:v>22.6</c:v>
                </c:pt>
                <c:pt idx="10">
                  <c:v>24.9</c:v>
                </c:pt>
                <c:pt idx="11">
                  <c:v>19.5</c:v>
                </c:pt>
                <c:pt idx="12">
                  <c:v>6.9</c:v>
                </c:pt>
                <c:pt idx="13">
                  <c:v>6.5</c:v>
                </c:pt>
                <c:pt idx="14">
                  <c:v>1</c:v>
                </c:pt>
                <c:pt idx="15">
                  <c:v>2.8</c:v>
                </c:pt>
                <c:pt idx="16">
                  <c:v>8.4</c:v>
                </c:pt>
                <c:pt idx="17">
                  <c:v>5</c:v>
                </c:pt>
                <c:pt idx="18">
                  <c:v>8.5</c:v>
                </c:pt>
                <c:pt idx="19">
                  <c:v>7.3</c:v>
                </c:pt>
                <c:pt idx="20">
                  <c:v>1.6</c:v>
                </c:pt>
                <c:pt idx="21">
                  <c:v>1.4</c:v>
                </c:pt>
                <c:pt idx="22">
                  <c:v>0.9</c:v>
                </c:pt>
                <c:pt idx="23">
                  <c:v>-6.3</c:v>
                </c:pt>
                <c:pt idx="24">
                  <c:v>-17.3</c:v>
                </c:pt>
                <c:pt idx="25">
                  <c:v>-13.7</c:v>
                </c:pt>
                <c:pt idx="26">
                  <c:v>-14.3</c:v>
                </c:pt>
                <c:pt idx="27">
                  <c:v>-7.5</c:v>
                </c:pt>
                <c:pt idx="28">
                  <c:v>-8.2000000000000011</c:v>
                </c:pt>
                <c:pt idx="29">
                  <c:v>-6</c:v>
                </c:pt>
                <c:pt idx="30">
                  <c:v>7.3</c:v>
                </c:pt>
                <c:pt idx="31">
                  <c:v>9.3000000000000007</c:v>
                </c:pt>
                <c:pt idx="32">
                  <c:v>31.1</c:v>
                </c:pt>
                <c:pt idx="33">
                  <c:v>20.3</c:v>
                </c:pt>
                <c:pt idx="34">
                  <c:v>15.5</c:v>
                </c:pt>
                <c:pt idx="35">
                  <c:v>7.9</c:v>
                </c:pt>
                <c:pt idx="36">
                  <c:v>11.9</c:v>
                </c:pt>
              </c:numCache>
            </c:numRef>
          </c:val>
          <c:smooth val="0"/>
          <c:extLst>
            <c:ext xmlns:c16="http://schemas.microsoft.com/office/drawing/2014/chart" uri="{C3380CC4-5D6E-409C-BE32-E72D297353CC}">
              <c16:uniqueId val="{00000001-C765-4192-ABC3-076392F76B79}"/>
            </c:ext>
          </c:extLst>
        </c:ser>
        <c:ser>
          <c:idx val="0"/>
          <c:order val="1"/>
          <c:tx>
            <c:v>出口</c:v>
          </c:tx>
          <c:spPr>
            <a:ln w="12700">
              <a:solidFill>
                <a:srgbClr val="000080"/>
              </a:solidFill>
              <a:prstDash val="solid"/>
            </a:ln>
          </c:spPr>
          <c:marker>
            <c:symbol val="diamond"/>
            <c:size val="5"/>
            <c:spPr>
              <a:solidFill>
                <a:srgbClr val="000080"/>
              </a:solidFill>
              <a:ln>
                <a:solidFill>
                  <a:srgbClr val="000080"/>
                </a:solidFill>
                <a:prstDash val="solid"/>
              </a:ln>
            </c:spPr>
          </c:marker>
          <c:cat>
            <c:strRef>
              <c:f>进出口增长率及汇率!$A$28:$A$64</c:f>
              <c:strCache>
                <c:ptCount val="37"/>
                <c:pt idx="0">
                  <c:v>2009q1</c:v>
                </c:pt>
                <c:pt idx="1">
                  <c:v>2009q2</c:v>
                </c:pt>
                <c:pt idx="2">
                  <c:v>2009q3</c:v>
                </c:pt>
                <c:pt idx="3">
                  <c:v>2009q4</c:v>
                </c:pt>
                <c:pt idx="4">
                  <c:v>2010q1</c:v>
                </c:pt>
                <c:pt idx="5">
                  <c:v>2010q2</c:v>
                </c:pt>
                <c:pt idx="6">
                  <c:v>2010q3</c:v>
                </c:pt>
                <c:pt idx="7">
                  <c:v>2010q4</c:v>
                </c:pt>
                <c:pt idx="8">
                  <c:v>2011q1</c:v>
                </c:pt>
                <c:pt idx="9">
                  <c:v>2011q2</c:v>
                </c:pt>
                <c:pt idx="10">
                  <c:v>2011q3</c:v>
                </c:pt>
                <c:pt idx="11">
                  <c:v>2011q4</c:v>
                </c:pt>
                <c:pt idx="12">
                  <c:v>2012q1</c:v>
                </c:pt>
                <c:pt idx="13">
                  <c:v>2012q2</c:v>
                </c:pt>
                <c:pt idx="14">
                  <c:v>2012q3</c:v>
                </c:pt>
                <c:pt idx="15">
                  <c:v>2012q4</c:v>
                </c:pt>
                <c:pt idx="16">
                  <c:v>2013q1</c:v>
                </c:pt>
                <c:pt idx="17">
                  <c:v>2013q2</c:v>
                </c:pt>
                <c:pt idx="18">
                  <c:v>2013q3</c:v>
                </c:pt>
                <c:pt idx="19">
                  <c:v>2013q4</c:v>
                </c:pt>
                <c:pt idx="20">
                  <c:v>2014q1</c:v>
                </c:pt>
                <c:pt idx="21">
                  <c:v>2014q2</c:v>
                </c:pt>
                <c:pt idx="22">
                  <c:v>2014q3</c:v>
                </c:pt>
                <c:pt idx="23">
                  <c:v>2014q4</c:v>
                </c:pt>
                <c:pt idx="24">
                  <c:v>2015q1</c:v>
                </c:pt>
                <c:pt idx="25">
                  <c:v>2015q2</c:v>
                </c:pt>
                <c:pt idx="26">
                  <c:v>2015q3</c:v>
                </c:pt>
                <c:pt idx="27">
                  <c:v>2015q4</c:v>
                </c:pt>
                <c:pt idx="28">
                  <c:v>2016q1</c:v>
                </c:pt>
                <c:pt idx="29">
                  <c:v>2016q2</c:v>
                </c:pt>
                <c:pt idx="30">
                  <c:v>2016q3</c:v>
                </c:pt>
                <c:pt idx="31">
                  <c:v>2016q4</c:v>
                </c:pt>
                <c:pt idx="32">
                  <c:v>2017q1</c:v>
                </c:pt>
                <c:pt idx="33">
                  <c:v>2017q2</c:v>
                </c:pt>
                <c:pt idx="34">
                  <c:v>2017q3</c:v>
                </c:pt>
                <c:pt idx="35">
                  <c:v>2017q4</c:v>
                </c:pt>
                <c:pt idx="36">
                  <c:v>2018q1</c:v>
                </c:pt>
              </c:strCache>
            </c:strRef>
          </c:cat>
          <c:val>
            <c:numRef>
              <c:f>进出口增长率及汇率!$C$28:$C$64</c:f>
              <c:numCache>
                <c:formatCode>General</c:formatCode>
                <c:ptCount val="37"/>
                <c:pt idx="0">
                  <c:v>-19.7</c:v>
                </c:pt>
                <c:pt idx="1">
                  <c:v>-23.9</c:v>
                </c:pt>
                <c:pt idx="2">
                  <c:v>-20.3</c:v>
                </c:pt>
                <c:pt idx="3">
                  <c:v>0.1</c:v>
                </c:pt>
                <c:pt idx="4">
                  <c:v>28.7</c:v>
                </c:pt>
                <c:pt idx="5">
                  <c:v>41.7</c:v>
                </c:pt>
                <c:pt idx="6">
                  <c:v>31.6</c:v>
                </c:pt>
                <c:pt idx="7">
                  <c:v>23.2</c:v>
                </c:pt>
                <c:pt idx="8">
                  <c:v>26.5</c:v>
                </c:pt>
                <c:pt idx="9">
                  <c:v>21.5</c:v>
                </c:pt>
                <c:pt idx="10">
                  <c:v>20.100000000000001</c:v>
                </c:pt>
                <c:pt idx="11">
                  <c:v>13.1</c:v>
                </c:pt>
                <c:pt idx="12">
                  <c:v>7.6</c:v>
                </c:pt>
                <c:pt idx="13">
                  <c:v>10.8</c:v>
                </c:pt>
                <c:pt idx="14">
                  <c:v>3.8</c:v>
                </c:pt>
                <c:pt idx="15">
                  <c:v>9.4</c:v>
                </c:pt>
                <c:pt idx="16">
                  <c:v>18.399999999999999</c:v>
                </c:pt>
                <c:pt idx="17">
                  <c:v>2.4</c:v>
                </c:pt>
                <c:pt idx="18">
                  <c:v>3.2</c:v>
                </c:pt>
                <c:pt idx="19">
                  <c:v>6.4</c:v>
                </c:pt>
                <c:pt idx="20">
                  <c:v>-3.4</c:v>
                </c:pt>
                <c:pt idx="21">
                  <c:v>5.2</c:v>
                </c:pt>
                <c:pt idx="22">
                  <c:v>13.5</c:v>
                </c:pt>
                <c:pt idx="23">
                  <c:v>4.3</c:v>
                </c:pt>
                <c:pt idx="24">
                  <c:v>4.9000000000000004</c:v>
                </c:pt>
                <c:pt idx="25">
                  <c:v>-3.1</c:v>
                </c:pt>
                <c:pt idx="26">
                  <c:v>-7.2</c:v>
                </c:pt>
                <c:pt idx="27">
                  <c:v>-1.8</c:v>
                </c:pt>
                <c:pt idx="28">
                  <c:v>-7.9</c:v>
                </c:pt>
                <c:pt idx="29">
                  <c:v>-0.8</c:v>
                </c:pt>
                <c:pt idx="30">
                  <c:v>-0.30000000000000032</c:v>
                </c:pt>
                <c:pt idx="31">
                  <c:v>0.30000000000000032</c:v>
                </c:pt>
                <c:pt idx="32">
                  <c:v>14.8</c:v>
                </c:pt>
                <c:pt idx="33">
                  <c:v>15.2</c:v>
                </c:pt>
                <c:pt idx="34">
                  <c:v>7.2</c:v>
                </c:pt>
                <c:pt idx="35">
                  <c:v>6</c:v>
                </c:pt>
                <c:pt idx="36">
                  <c:v>7.4</c:v>
                </c:pt>
              </c:numCache>
            </c:numRef>
          </c:val>
          <c:smooth val="0"/>
          <c:extLst>
            <c:ext xmlns:c16="http://schemas.microsoft.com/office/drawing/2014/chart" uri="{C3380CC4-5D6E-409C-BE32-E72D297353CC}">
              <c16:uniqueId val="{00000002-C765-4192-ABC3-076392F76B79}"/>
            </c:ext>
          </c:extLst>
        </c:ser>
        <c:dLbls>
          <c:showLegendKey val="0"/>
          <c:showVal val="0"/>
          <c:showCatName val="0"/>
          <c:showSerName val="0"/>
          <c:showPercent val="0"/>
          <c:showBubbleSize val="0"/>
        </c:dLbls>
        <c:marker val="1"/>
        <c:smooth val="0"/>
        <c:axId val="92072192"/>
        <c:axId val="92086656"/>
      </c:lineChart>
      <c:catAx>
        <c:axId val="92072192"/>
        <c:scaling>
          <c:orientation val="minMax"/>
        </c:scaling>
        <c:delete val="0"/>
        <c:axPos val="b"/>
        <c:numFmt formatCode="General" sourceLinked="1"/>
        <c:majorTickMark val="in"/>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宋体"/>
                <a:ea typeface="宋体"/>
                <a:cs typeface="宋体"/>
              </a:defRPr>
            </a:pPr>
            <a:endParaRPr lang="zh-CN"/>
          </a:p>
        </c:txPr>
        <c:crossAx val="92086656"/>
        <c:crosses val="autoZero"/>
        <c:auto val="0"/>
        <c:lblAlgn val="ctr"/>
        <c:lblOffset val="100"/>
        <c:tickLblSkip val="1"/>
        <c:tickMarkSkip val="1"/>
        <c:noMultiLvlLbl val="0"/>
      </c:catAx>
      <c:valAx>
        <c:axId val="92086656"/>
        <c:scaling>
          <c:orientation val="minMax"/>
        </c:scaling>
        <c:delete val="0"/>
        <c:axPos val="l"/>
        <c:numFmt formatCode="General" sourceLinked="1"/>
        <c:majorTickMark val="in"/>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zh-CN"/>
          </a:p>
        </c:txPr>
        <c:crossAx val="92072192"/>
        <c:crosses val="autoZero"/>
        <c:crossBetween val="between"/>
      </c:valAx>
      <c:catAx>
        <c:axId val="92088192"/>
        <c:scaling>
          <c:orientation val="minMax"/>
        </c:scaling>
        <c:delete val="1"/>
        <c:axPos val="b"/>
        <c:numFmt formatCode="General" sourceLinked="1"/>
        <c:majorTickMark val="out"/>
        <c:minorTickMark val="none"/>
        <c:tickLblPos val="none"/>
        <c:crossAx val="92089728"/>
        <c:crosses val="autoZero"/>
        <c:auto val="0"/>
        <c:lblAlgn val="ctr"/>
        <c:lblOffset val="100"/>
        <c:noMultiLvlLbl val="0"/>
      </c:catAx>
      <c:valAx>
        <c:axId val="92089728"/>
        <c:scaling>
          <c:orientation val="minMax"/>
        </c:scaling>
        <c:delete val="0"/>
        <c:axPos val="r"/>
        <c:numFmt formatCode="General" sourceLinked="1"/>
        <c:majorTickMark val="out"/>
        <c:minorTickMark val="none"/>
        <c:tickLblPos val="nextTo"/>
        <c:spPr>
          <a:ln/>
        </c:spPr>
        <c:crossAx val="92088192"/>
        <c:crosses val="max"/>
        <c:crossBetween val="between"/>
      </c:valAx>
      <c:spPr>
        <a:solidFill>
          <a:srgbClr val="FFFFFF"/>
        </a:solidFill>
        <a:ln w="12700">
          <a:solidFill>
            <a:srgbClr val="808080"/>
          </a:solidFill>
          <a:prstDash val="solid"/>
        </a:ln>
      </c:spPr>
    </c:plotArea>
    <c:legend>
      <c:legendPos val="r"/>
      <c:layout>
        <c:manualLayout>
          <c:xMode val="edge"/>
          <c:yMode val="edge"/>
          <c:x val="0.33106960950764286"/>
          <c:y val="0.90322580645161465"/>
          <c:w val="0.32088285229202307"/>
          <c:h val="6.4516129032258132E-2"/>
        </c:manualLayout>
      </c:layout>
      <c:overlay val="0"/>
      <c:spPr>
        <a:solidFill>
          <a:srgbClr val="FFFFFF"/>
        </a:solidFill>
        <a:ln w="25400">
          <a:noFill/>
        </a:ln>
      </c:spPr>
      <c:txPr>
        <a:bodyPr/>
        <a:lstStyle/>
        <a:p>
          <a:pPr>
            <a:defRPr sz="1000" b="0" i="0" u="none" strike="noStrike" baseline="0">
              <a:solidFill>
                <a:srgbClr val="000000"/>
              </a:solidFill>
              <a:latin typeface="宋体"/>
              <a:ea typeface="宋体"/>
              <a:cs typeface="宋体"/>
            </a:defRPr>
          </a:pPr>
          <a:endParaRPr lang="zh-CN"/>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DA5CF-C4D6-D245-B2F5-56754D9E445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2415</Words>
  <Characters>13768</Characters>
  <Application>Microsoft Office Word</Application>
  <DocSecurity>0</DocSecurity>
  <Lines>114</Lines>
  <Paragraphs>32</Paragraphs>
  <ScaleCrop>false</ScaleCrop>
  <Company>微软中国</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胡 明东</cp:lastModifiedBy>
  <cp:revision>2</cp:revision>
  <dcterms:created xsi:type="dcterms:W3CDTF">2018-05-25T05:02:00Z</dcterms:created>
  <dcterms:modified xsi:type="dcterms:W3CDTF">2018-05-25T05:02:00Z</dcterms:modified>
</cp:coreProperties>
</file>