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EEEEE"/>
  <w:body>
    <w:p w:rsidR="009519D8" w:rsidRDefault="009519D8" w:rsidP="009519D8">
      <w:pPr>
        <w:spacing w:line="420" w:lineRule="exact"/>
        <w:jc w:val="left"/>
        <w:rPr>
          <w:rFonts w:ascii="微软雅黑" w:eastAsia="微软雅黑" w:hAnsi="微软雅黑" w:cs="微软雅黑"/>
          <w:bCs/>
          <w:sz w:val="28"/>
          <w:szCs w:val="28"/>
        </w:rPr>
      </w:pPr>
      <w:r>
        <w:rPr>
          <w:rFonts w:ascii="微软雅黑" w:eastAsia="微软雅黑" w:hAnsi="微软雅黑" w:cs="微软雅黑" w:hint="eastAsia"/>
          <w:bCs/>
          <w:sz w:val="30"/>
          <w:szCs w:val="30"/>
        </w:rPr>
        <w:t>张曙光 张弛：</w:t>
      </w:r>
      <w:r>
        <w:rPr>
          <w:rFonts w:ascii="微软雅黑" w:eastAsia="微软雅黑" w:hAnsi="微软雅黑" w:cs="微软雅黑" w:hint="eastAsia"/>
          <w:b/>
          <w:sz w:val="30"/>
          <w:szCs w:val="30"/>
        </w:rPr>
        <w:t>经济增长逐季下行 实现稳定相当艰巨</w:t>
      </w:r>
      <w:r>
        <w:rPr>
          <w:rFonts w:ascii="宋体" w:eastAsia="宋体" w:hAnsi="宋体" w:cs="宋体" w:hint="eastAsia"/>
          <w:b/>
          <w:sz w:val="30"/>
          <w:szCs w:val="30"/>
        </w:rPr>
        <w:t>|</w:t>
      </w:r>
      <w:r>
        <w:rPr>
          <w:rFonts w:ascii="微软雅黑" w:eastAsia="微软雅黑" w:hAnsi="微软雅黑" w:cs="微软雅黑" w:hint="eastAsia"/>
          <w:bCs/>
          <w:sz w:val="28"/>
          <w:szCs w:val="28"/>
        </w:rPr>
        <w:t>2018年第4季度及全年中国宏观经济分析</w:t>
      </w:r>
    </w:p>
    <w:p w:rsidR="009519D8" w:rsidRDefault="009519D8" w:rsidP="009519D8">
      <w:pPr>
        <w:spacing w:line="380" w:lineRule="exact"/>
        <w:jc w:val="left"/>
        <w:rPr>
          <w:rFonts w:ascii="微软雅黑" w:eastAsia="微软雅黑" w:hAnsi="微软雅黑" w:cs="微软雅黑"/>
          <w:szCs w:val="21"/>
        </w:rPr>
      </w:pPr>
    </w:p>
    <w:p w:rsidR="009519D8" w:rsidRDefault="009519D8" w:rsidP="009519D8">
      <w:pPr>
        <w:spacing w:line="380" w:lineRule="exact"/>
        <w:jc w:val="left"/>
        <w:rPr>
          <w:rFonts w:ascii="微软雅黑" w:eastAsia="微软雅黑" w:hAnsi="微软雅黑" w:cs="微软雅黑"/>
          <w:color w:val="632423" w:themeColor="accent2" w:themeShade="80"/>
          <w:szCs w:val="21"/>
        </w:rPr>
      </w:pPr>
      <w:r>
        <w:rPr>
          <w:rFonts w:ascii="宋体" w:eastAsia="宋体" w:hAnsi="宋体" w:cs="宋体" w:hint="eastAsia"/>
          <w:b/>
          <w:bCs/>
          <w:color w:val="632423" w:themeColor="accent2" w:themeShade="80"/>
          <w:szCs w:val="21"/>
        </w:rPr>
        <w:t>[</w:t>
      </w:r>
      <w:r>
        <w:rPr>
          <w:rFonts w:ascii="宋体" w:eastAsia="宋体" w:hAnsi="宋体" w:cs="宋体" w:hint="eastAsia"/>
          <w:b/>
          <w:bCs/>
          <w:color w:val="632423" w:themeColor="accent2" w:themeShade="80"/>
          <w:sz w:val="6"/>
          <w:szCs w:val="6"/>
        </w:rPr>
        <w:t xml:space="preserve"> </w:t>
      </w:r>
      <w:r>
        <w:rPr>
          <w:rFonts w:ascii="微软雅黑" w:eastAsia="微软雅黑" w:hAnsi="微软雅黑" w:cs="微软雅黑" w:hint="eastAsia"/>
          <w:b/>
          <w:bCs/>
          <w:color w:val="632423" w:themeColor="accent2" w:themeShade="80"/>
          <w:szCs w:val="21"/>
        </w:rPr>
        <w:t>张曙光</w:t>
      </w:r>
      <w:r>
        <w:rPr>
          <w:rFonts w:ascii="微软雅黑" w:eastAsia="微软雅黑" w:hAnsi="微软雅黑" w:cs="微软雅黑" w:hint="eastAsia"/>
          <w:color w:val="632423" w:themeColor="accent2" w:themeShade="80"/>
          <w:szCs w:val="21"/>
        </w:rPr>
        <w:t xml:space="preserve"> 著名经济学家，中国社会科学院经济研究所研究员；</w:t>
      </w:r>
      <w:r>
        <w:rPr>
          <w:rFonts w:ascii="微软雅黑" w:eastAsia="微软雅黑" w:hAnsi="微软雅黑" w:cs="微软雅黑" w:hint="eastAsia"/>
          <w:b/>
          <w:bCs/>
          <w:color w:val="632423" w:themeColor="accent2" w:themeShade="80"/>
          <w:szCs w:val="21"/>
        </w:rPr>
        <w:t>张弛</w:t>
      </w:r>
      <w:r>
        <w:rPr>
          <w:rFonts w:ascii="微软雅黑" w:eastAsia="微软雅黑" w:hAnsi="微软雅黑" w:cs="微软雅黑" w:hint="eastAsia"/>
          <w:color w:val="632423" w:themeColor="accent2" w:themeShade="80"/>
          <w:szCs w:val="21"/>
        </w:rPr>
        <w:t xml:space="preserve"> 中国政法大学商学院。本文首发于2019-2-17</w:t>
      </w:r>
      <w:proofErr w:type="gramStart"/>
      <w:r>
        <w:rPr>
          <w:rFonts w:ascii="微软雅黑" w:eastAsia="微软雅黑" w:hAnsi="微软雅黑" w:cs="微软雅黑" w:hint="eastAsia"/>
          <w:color w:val="632423" w:themeColor="accent2" w:themeShade="80"/>
          <w:szCs w:val="21"/>
        </w:rPr>
        <w:t>中评周刊</w:t>
      </w:r>
      <w:proofErr w:type="gramEnd"/>
      <w:r>
        <w:rPr>
          <w:rFonts w:ascii="微软雅黑" w:eastAsia="微软雅黑" w:hAnsi="微软雅黑" w:cs="微软雅黑" w:hint="eastAsia"/>
          <w:color w:val="632423" w:themeColor="accent2" w:themeShade="80"/>
          <w:sz w:val="13"/>
          <w:szCs w:val="13"/>
        </w:rPr>
        <w:t xml:space="preserve"> </w:t>
      </w:r>
      <w:r>
        <w:rPr>
          <w:rFonts w:ascii="宋体" w:eastAsia="宋体" w:hAnsi="宋体" w:cs="宋体" w:hint="eastAsia"/>
          <w:b/>
          <w:bCs/>
          <w:color w:val="632423" w:themeColor="accent2" w:themeShade="80"/>
          <w:szCs w:val="21"/>
        </w:rPr>
        <w:t xml:space="preserve">] </w:t>
      </w:r>
    </w:p>
    <w:p w:rsidR="009519D8" w:rsidRDefault="009519D8" w:rsidP="009519D8">
      <w:pPr>
        <w:spacing w:line="380" w:lineRule="exact"/>
        <w:rPr>
          <w:rFonts w:ascii="微软雅黑" w:eastAsia="微软雅黑" w:hAnsi="微软雅黑" w:cs="微软雅黑"/>
          <w:szCs w:val="21"/>
        </w:rPr>
      </w:pPr>
    </w:p>
    <w:p w:rsidR="009519D8" w:rsidRDefault="009519D8" w:rsidP="009519D8">
      <w:pPr>
        <w:jc w:val="center"/>
        <w:rPr>
          <w:rFonts w:ascii="微软雅黑" w:eastAsia="微软雅黑" w:hAnsi="微软雅黑" w:cs="微软雅黑"/>
          <w:szCs w:val="21"/>
        </w:rPr>
      </w:pPr>
      <w:r>
        <w:rPr>
          <w:rFonts w:ascii="微软雅黑" w:eastAsia="微软雅黑" w:hAnsi="微软雅黑" w:cs="微软雅黑" w:hint="eastAsia"/>
          <w:noProof/>
          <w:szCs w:val="21"/>
        </w:rPr>
        <w:drawing>
          <wp:inline distT="0" distB="0" distL="114300" distR="114300">
            <wp:extent cx="5006340" cy="3379470"/>
            <wp:effectExtent l="0" t="0" r="7620" b="3810"/>
            <wp:docPr id="1" name="图片 2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图片1"/>
                    <pic:cNvPicPr>
                      <a:picLocks noChangeAspect="1"/>
                    </pic:cNvPicPr>
                  </pic:nvPicPr>
                  <pic:blipFill>
                    <a:blip r:embed="rId9" cstate="print"/>
                    <a:stretch>
                      <a:fillRect/>
                    </a:stretch>
                  </pic:blipFill>
                  <pic:spPr>
                    <a:xfrm>
                      <a:off x="0" y="0"/>
                      <a:ext cx="5006340" cy="3379470"/>
                    </a:xfrm>
                    <a:prstGeom prst="rect">
                      <a:avLst/>
                    </a:prstGeom>
                  </pic:spPr>
                </pic:pic>
              </a:graphicData>
            </a:graphic>
          </wp:inline>
        </w:drawing>
      </w:r>
    </w:p>
    <w:p w:rsidR="009519D8" w:rsidRDefault="009519D8" w:rsidP="009519D8">
      <w:pPr>
        <w:spacing w:line="300" w:lineRule="exact"/>
        <w:jc w:val="center"/>
        <w:rPr>
          <w:rFonts w:ascii="微软雅黑" w:eastAsia="微软雅黑" w:hAnsi="微软雅黑" w:cs="微软雅黑"/>
          <w:sz w:val="18"/>
          <w:szCs w:val="18"/>
        </w:rPr>
      </w:pPr>
      <w:r>
        <w:rPr>
          <w:rFonts w:ascii="微软雅黑" w:eastAsia="微软雅黑" w:hAnsi="微软雅黑" w:cs="微软雅黑" w:hint="eastAsia"/>
          <w:sz w:val="18"/>
          <w:szCs w:val="18"/>
        </w:rPr>
        <w:t>本文作者</w:t>
      </w:r>
      <w:r>
        <w:rPr>
          <w:rFonts w:ascii="微软雅黑" w:eastAsia="微软雅黑" w:hAnsi="微软雅黑" w:cs="微软雅黑" w:hint="eastAsia"/>
          <w:b/>
          <w:bCs/>
          <w:sz w:val="18"/>
          <w:szCs w:val="18"/>
        </w:rPr>
        <w:t>张曙光</w:t>
      </w:r>
      <w:r>
        <w:rPr>
          <w:rFonts w:ascii="微软雅黑" w:eastAsia="微软雅黑" w:hAnsi="微软雅黑" w:cs="微软雅黑" w:hint="eastAsia"/>
          <w:sz w:val="18"/>
          <w:szCs w:val="18"/>
        </w:rPr>
        <w:t>教授</w:t>
      </w:r>
    </w:p>
    <w:p w:rsidR="009519D8" w:rsidRDefault="009519D8" w:rsidP="009519D8">
      <w:pPr>
        <w:spacing w:line="240" w:lineRule="exact"/>
        <w:jc w:val="center"/>
        <w:rPr>
          <w:rFonts w:ascii="微软雅黑" w:eastAsia="微软雅黑" w:hAnsi="微软雅黑" w:cs="微软雅黑"/>
          <w:szCs w:val="21"/>
        </w:rPr>
      </w:pPr>
    </w:p>
    <w:p w:rsidR="009519D8" w:rsidRDefault="009519D8" w:rsidP="009519D8">
      <w:pPr>
        <w:spacing w:line="460" w:lineRule="exact"/>
        <w:ind w:firstLineChars="200" w:firstLine="420"/>
        <w:rPr>
          <w:rFonts w:ascii="微软雅黑" w:eastAsia="微软雅黑" w:hAnsi="微软雅黑" w:cs="微软雅黑"/>
          <w:szCs w:val="21"/>
        </w:rPr>
      </w:pPr>
      <w:r>
        <w:rPr>
          <w:rFonts w:ascii="微软雅黑" w:eastAsia="微软雅黑" w:hAnsi="微软雅黑" w:cs="微软雅黑" w:hint="eastAsia"/>
          <w:b/>
          <w:bCs/>
          <w:szCs w:val="21"/>
        </w:rPr>
        <w:t>内容提要：</w:t>
      </w:r>
      <w:r>
        <w:rPr>
          <w:rFonts w:ascii="微软雅黑" w:eastAsia="微软雅黑" w:hAnsi="微软雅黑" w:cs="微软雅黑" w:hint="eastAsia"/>
          <w:szCs w:val="21"/>
        </w:rPr>
        <w:t>2018年，中国经济增长6.6%，完成了年初设定6.5%的增长目标，却呈逐季回落态势。除贸易受抢出口的拉动增长异常以外，投资和消费都有所趋缓。就业数据不错，但实际情况堪忧，实施就业优先战略是一个正确选择。减税降费是</w:t>
      </w:r>
      <w:proofErr w:type="gramStart"/>
      <w:r>
        <w:rPr>
          <w:rFonts w:ascii="微软雅黑" w:eastAsia="微软雅黑" w:hAnsi="微软雅黑" w:cs="微软雅黑" w:hint="eastAsia"/>
          <w:szCs w:val="21"/>
        </w:rPr>
        <w:t>稳就业和稳增长</w:t>
      </w:r>
      <w:proofErr w:type="gramEnd"/>
      <w:r>
        <w:rPr>
          <w:rFonts w:ascii="微软雅黑" w:eastAsia="微软雅黑" w:hAnsi="微软雅黑" w:cs="微软雅黑" w:hint="eastAsia"/>
          <w:szCs w:val="21"/>
        </w:rPr>
        <w:t>的良方，需要改变现行零敲碎打的施策方式，抓住增值税和社保缴费等主要税（费）种，大力度减免，方能奏效。实行扩张财政货币政策，更要关注化解金融经济风险。2019年能实现6%的增长就是最大的成绩。</w:t>
      </w:r>
    </w:p>
    <w:p w:rsidR="009519D8" w:rsidRDefault="009519D8" w:rsidP="009519D8">
      <w:pPr>
        <w:spacing w:line="460" w:lineRule="exact"/>
        <w:rPr>
          <w:rFonts w:ascii="微软雅黑" w:eastAsia="微软雅黑" w:hAnsi="微软雅黑" w:cs="微软雅黑"/>
          <w:szCs w:val="21"/>
        </w:rPr>
      </w:pPr>
    </w:p>
    <w:p w:rsidR="009519D8" w:rsidRDefault="009519D8" w:rsidP="009519D8">
      <w:pPr>
        <w:pStyle w:val="10"/>
        <w:spacing w:line="460" w:lineRule="exact"/>
        <w:jc w:val="left"/>
        <w:rPr>
          <w:rFonts w:ascii="微软雅黑" w:eastAsia="微软雅黑" w:hAnsi="微软雅黑" w:cs="微软雅黑"/>
          <w:b/>
          <w:kern w:val="0"/>
          <w:szCs w:val="21"/>
        </w:rPr>
      </w:pPr>
      <w:r>
        <w:rPr>
          <w:rFonts w:ascii="微软雅黑" w:eastAsia="微软雅黑" w:hAnsi="微软雅黑" w:cs="微软雅黑" w:hint="eastAsia"/>
          <w:b/>
          <w:kern w:val="0"/>
          <w:szCs w:val="21"/>
        </w:rPr>
        <w:t>一、总量态势</w:t>
      </w:r>
    </w:p>
    <w:p w:rsidR="009519D8" w:rsidRDefault="009519D8" w:rsidP="009519D8">
      <w:pPr>
        <w:spacing w:line="460" w:lineRule="exact"/>
        <w:ind w:firstLineChars="200" w:firstLine="420"/>
        <w:rPr>
          <w:rFonts w:ascii="微软雅黑" w:eastAsia="微软雅黑" w:hAnsi="微软雅黑" w:cs="微软雅黑"/>
          <w:b/>
          <w:szCs w:val="21"/>
        </w:rPr>
      </w:pPr>
      <w:r>
        <w:rPr>
          <w:rFonts w:ascii="微软雅黑" w:eastAsia="微软雅黑" w:hAnsi="微软雅黑" w:cs="微软雅黑" w:hint="eastAsia"/>
          <w:b/>
          <w:szCs w:val="21"/>
        </w:rPr>
        <w:t>1. 经济增长逐季回落</w:t>
      </w:r>
    </w:p>
    <w:p w:rsidR="009519D8" w:rsidRDefault="009519D8" w:rsidP="009519D8">
      <w:pPr>
        <w:spacing w:line="46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初步核算，全年国内生产总值900309亿元，按可比价格计算，比上年增长6.6%。分季度看，一季度同比增长6.8%，二季度增长6.7%，三季度增长6.5%，四季度增长6.4%。分产业看，第一产业增加值64734亿元，比上年增长3.5%；第二产业增加值366001亿元，增长5.8%；第三产业增加值469575亿元，增长7.6%。</w:t>
      </w:r>
    </w:p>
    <w:p w:rsidR="009519D8" w:rsidRDefault="009519D8" w:rsidP="009519D8">
      <w:pPr>
        <w:spacing w:line="46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全年全国规模以上工业增加值比上年实际增长6.2%，增速缓中趋稳。分经济类型看，国有控股企</w:t>
      </w:r>
      <w:r>
        <w:rPr>
          <w:rFonts w:ascii="微软雅黑" w:eastAsia="微软雅黑" w:hAnsi="微软雅黑" w:cs="微软雅黑" w:hint="eastAsia"/>
          <w:szCs w:val="21"/>
        </w:rPr>
        <w:lastRenderedPageBreak/>
        <w:t>业增加值增长6.2%，集体企业下降1.2%，股份制企业增长6.6%，外商及港澳台商投资企业增长4.8%。分三大门类看，采矿业增加值增长2.3%，制造业增长6.5%，电力、热力、燃气及水生产和供应业增长9.9%。高技术制造业、战略性新兴产业和装备制造业增加值分别比上年增长11.7%、8.9%和8.1%，增速分别比规模以上工业快5.5、2.7和1.9个百分点。</w:t>
      </w:r>
    </w:p>
    <w:p w:rsidR="009519D8" w:rsidRDefault="009519D8" w:rsidP="009519D8">
      <w:pPr>
        <w:spacing w:line="46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全年全国服务业生产指数比上年增长7.7%，保持较快增长。其中，信息传输、软件和信息技术服务业，租赁和商务服务业分别增长37.0%、10.1%。</w:t>
      </w:r>
    </w:p>
    <w:p w:rsidR="009519D8" w:rsidRDefault="009519D8" w:rsidP="009519D8">
      <w:pPr>
        <w:spacing w:line="140" w:lineRule="exact"/>
        <w:ind w:firstLineChars="200" w:firstLine="420"/>
        <w:rPr>
          <w:rFonts w:ascii="微软雅黑" w:eastAsia="微软雅黑" w:hAnsi="微软雅黑" w:cs="微软雅黑"/>
          <w:szCs w:val="21"/>
        </w:rPr>
      </w:pPr>
    </w:p>
    <w:p w:rsidR="009519D8" w:rsidRDefault="009519D8" w:rsidP="009519D8">
      <w:pPr>
        <w:jc w:val="center"/>
        <w:rPr>
          <w:rFonts w:ascii="微软雅黑" w:eastAsia="微软雅黑" w:hAnsi="微软雅黑" w:cs="微软雅黑"/>
          <w:szCs w:val="21"/>
        </w:rPr>
      </w:pPr>
      <w:r>
        <w:rPr>
          <w:rFonts w:ascii="微软雅黑" w:eastAsia="微软雅黑" w:hAnsi="微软雅黑" w:cs="微软雅黑" w:hint="eastAsia"/>
          <w:noProof/>
          <w:szCs w:val="21"/>
        </w:rPr>
        <w:drawing>
          <wp:inline distT="0" distB="0" distL="0" distR="0">
            <wp:extent cx="5170170" cy="2701290"/>
            <wp:effectExtent l="4445" t="4445" r="6985" b="6985"/>
            <wp:docPr id="2" name="图表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519D8" w:rsidRDefault="009519D8" w:rsidP="009519D8">
      <w:pPr>
        <w:numPr>
          <w:ilvl w:val="0"/>
          <w:numId w:val="4"/>
        </w:numPr>
        <w:spacing w:line="460" w:lineRule="exact"/>
        <w:ind w:firstLineChars="200" w:firstLine="420"/>
        <w:rPr>
          <w:rFonts w:ascii="微软雅黑" w:eastAsia="微软雅黑" w:hAnsi="微软雅黑" w:cs="微软雅黑"/>
          <w:b/>
          <w:szCs w:val="21"/>
        </w:rPr>
      </w:pPr>
      <w:r>
        <w:rPr>
          <w:rFonts w:ascii="微软雅黑" w:eastAsia="微软雅黑" w:hAnsi="微软雅黑" w:cs="微软雅黑" w:hint="eastAsia"/>
          <w:b/>
          <w:szCs w:val="21"/>
        </w:rPr>
        <w:t xml:space="preserve">居民消费价格稳定   </w:t>
      </w:r>
    </w:p>
    <w:p w:rsidR="009519D8" w:rsidRDefault="009519D8" w:rsidP="009519D8">
      <w:pPr>
        <w:spacing w:line="46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全年居民消费价格比上年上涨2.1%，处于温和上涨区间，低于3%左右的预期目标。其中，城市上涨2.1%，农村上涨2.1%。分类别看，食品烟酒价格上涨1.9%，衣着上涨1.2%，居住上涨2.4%，生活用品及服务上涨1.6%，交通和通信上涨1.7%，教育文化和娱乐上涨2.2%，医疗保健上涨4.3%，其他用品和服务上涨1.2%。</w:t>
      </w:r>
    </w:p>
    <w:p w:rsidR="009519D8" w:rsidRDefault="009519D8" w:rsidP="009519D8">
      <w:pPr>
        <w:spacing w:line="46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全年工业生产者出厂价格比上年上涨3.5%，涨幅比上年回落2.8个百分点。全年工业生产者购进价格比上年上涨4.1%。</w:t>
      </w:r>
    </w:p>
    <w:p w:rsidR="009519D8" w:rsidRDefault="009519D8" w:rsidP="009519D8">
      <w:pPr>
        <w:numPr>
          <w:ilvl w:val="0"/>
          <w:numId w:val="4"/>
        </w:numPr>
        <w:spacing w:line="460" w:lineRule="exact"/>
        <w:ind w:firstLineChars="200" w:firstLine="420"/>
        <w:rPr>
          <w:rFonts w:ascii="微软雅黑" w:eastAsia="微软雅黑" w:hAnsi="微软雅黑" w:cs="微软雅黑"/>
          <w:b/>
          <w:szCs w:val="21"/>
        </w:rPr>
      </w:pPr>
      <w:r>
        <w:rPr>
          <w:rFonts w:ascii="微软雅黑" w:eastAsia="微软雅黑" w:hAnsi="微软雅黑" w:cs="微软雅黑" w:hint="eastAsia"/>
          <w:b/>
          <w:szCs w:val="21"/>
        </w:rPr>
        <w:t>城镇新增就业超计划</w:t>
      </w:r>
    </w:p>
    <w:p w:rsidR="009519D8" w:rsidRDefault="009519D8" w:rsidP="009519D8">
      <w:pPr>
        <w:spacing w:line="46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全年城镇新增就业1361万人，比上年多增10万人。2018年各月全国城镇调查失业率保持在4.8%-5.1%之间。12月份，31个大城市城镇调查失业率为4.7%，比上年同月下降0.2个百分点。其中，全国主要就业人员群体25-59岁人口调查失业率为4.4%，与上月持平。年末全国就业人员77586万人，其中城镇就业人员43419万人。全年农民工总量28836万人，比上年增加184万人，增长0.6%。</w:t>
      </w:r>
    </w:p>
    <w:p w:rsidR="009519D8" w:rsidRDefault="009519D8" w:rsidP="009519D8">
      <w:pPr>
        <w:numPr>
          <w:ilvl w:val="0"/>
          <w:numId w:val="4"/>
        </w:numPr>
        <w:spacing w:line="460" w:lineRule="exact"/>
        <w:ind w:firstLineChars="200" w:firstLine="420"/>
        <w:rPr>
          <w:rFonts w:ascii="微软雅黑" w:eastAsia="微软雅黑" w:hAnsi="微软雅黑" w:cs="微软雅黑"/>
          <w:b/>
          <w:szCs w:val="21"/>
          <w:shd w:val="clear" w:color="auto" w:fill="FFFFFF"/>
        </w:rPr>
      </w:pPr>
      <w:r>
        <w:rPr>
          <w:rFonts w:ascii="微软雅黑" w:eastAsia="微软雅黑" w:hAnsi="微软雅黑" w:cs="微软雅黑" w:hint="eastAsia"/>
          <w:b/>
          <w:szCs w:val="21"/>
          <w:shd w:val="clear" w:color="auto" w:fill="FFFFFF"/>
        </w:rPr>
        <w:t>外汇储备和汇率相对稳定</w:t>
      </w:r>
    </w:p>
    <w:p w:rsidR="009519D8" w:rsidRDefault="009519D8" w:rsidP="009519D8">
      <w:pPr>
        <w:spacing w:line="46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12月末，国家外汇储备余额为3.07</w:t>
      </w:r>
      <w:proofErr w:type="gramStart"/>
      <w:r>
        <w:rPr>
          <w:rFonts w:ascii="微软雅黑" w:eastAsia="微软雅黑" w:hAnsi="微软雅黑" w:cs="微软雅黑" w:hint="eastAsia"/>
          <w:szCs w:val="21"/>
        </w:rPr>
        <w:t>万亿</w:t>
      </w:r>
      <w:proofErr w:type="gramEnd"/>
      <w:r>
        <w:rPr>
          <w:rFonts w:ascii="微软雅黑" w:eastAsia="微软雅黑" w:hAnsi="微软雅黑" w:cs="微软雅黑" w:hint="eastAsia"/>
          <w:szCs w:val="21"/>
        </w:rPr>
        <w:t>美元。比9月末少200亿美元。12月末，人民币汇率为1美元兑6.8632元人民币，比9月末升值1.6个基点。</w:t>
      </w:r>
    </w:p>
    <w:p w:rsidR="009519D8" w:rsidRDefault="009519D8" w:rsidP="009519D8">
      <w:pPr>
        <w:jc w:val="center"/>
        <w:rPr>
          <w:rFonts w:ascii="微软雅黑" w:eastAsia="微软雅黑" w:hAnsi="微软雅黑" w:cs="微软雅黑"/>
          <w:szCs w:val="21"/>
        </w:rPr>
      </w:pPr>
      <w:r>
        <w:rPr>
          <w:rFonts w:ascii="微软雅黑" w:eastAsia="微软雅黑" w:hAnsi="微软雅黑" w:cs="微软雅黑" w:hint="eastAsia"/>
          <w:noProof/>
          <w:szCs w:val="21"/>
        </w:rPr>
        <w:lastRenderedPageBreak/>
        <w:drawing>
          <wp:inline distT="0" distB="0" distL="0" distR="0">
            <wp:extent cx="5495925" cy="2470785"/>
            <wp:effectExtent l="4445" t="4445" r="16510" b="8890"/>
            <wp:docPr id="3" name="图表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519D8" w:rsidRDefault="009519D8" w:rsidP="009519D8">
      <w:pPr>
        <w:spacing w:line="240" w:lineRule="exact"/>
        <w:rPr>
          <w:rFonts w:ascii="微软雅黑" w:eastAsia="微软雅黑" w:hAnsi="微软雅黑" w:cs="微软雅黑"/>
          <w:szCs w:val="21"/>
        </w:rPr>
      </w:pPr>
    </w:p>
    <w:p w:rsidR="009519D8" w:rsidRDefault="009519D8" w:rsidP="009519D8">
      <w:pPr>
        <w:spacing w:line="460" w:lineRule="exact"/>
        <w:ind w:firstLineChars="200" w:firstLine="420"/>
        <w:jc w:val="left"/>
        <w:rPr>
          <w:rFonts w:ascii="微软雅黑" w:eastAsia="微软雅黑" w:hAnsi="微软雅黑" w:cs="微软雅黑"/>
          <w:b/>
          <w:kern w:val="0"/>
          <w:szCs w:val="21"/>
        </w:rPr>
      </w:pPr>
      <w:r>
        <w:rPr>
          <w:rFonts w:ascii="微软雅黑" w:eastAsia="微软雅黑" w:hAnsi="微软雅黑" w:cs="微软雅黑" w:hint="eastAsia"/>
          <w:b/>
          <w:kern w:val="0"/>
          <w:szCs w:val="21"/>
        </w:rPr>
        <w:t>二、因素与结构</w:t>
      </w:r>
    </w:p>
    <w:p w:rsidR="009519D8" w:rsidRDefault="009519D8" w:rsidP="009519D8">
      <w:pPr>
        <w:pStyle w:val="20"/>
        <w:spacing w:line="460" w:lineRule="exact"/>
        <w:rPr>
          <w:rFonts w:ascii="微软雅黑" w:eastAsia="微软雅黑" w:hAnsi="微软雅黑" w:cs="微软雅黑"/>
          <w:b/>
          <w:szCs w:val="21"/>
        </w:rPr>
      </w:pPr>
      <w:r>
        <w:rPr>
          <w:rFonts w:ascii="微软雅黑" w:eastAsia="微软雅黑" w:hAnsi="微软雅黑" w:cs="微软雅黑" w:hint="eastAsia"/>
          <w:b/>
          <w:szCs w:val="21"/>
        </w:rPr>
        <w:t xml:space="preserve">1. 民间投资增速稳定  居民消费增长趋缓 </w:t>
      </w:r>
    </w:p>
    <w:p w:rsidR="009519D8" w:rsidRDefault="009519D8" w:rsidP="009519D8">
      <w:pPr>
        <w:spacing w:line="46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全年全国固定资产投资（不含农户）635636亿元，比上年增长5.9%，增速比前三季度加快0.5个百分点。其中，民间投资394051亿元，增长8.7%，比上年加快2.7个百分点。分产业看，第一产业投资增长12.9%，比上年加快1.1个百分点；第二产业投资增长6.2%，加快3.0个百分点，其中制造业投资增长9.5%，加快4.7个百分点；第三产业投资增长5.5%，其中基础设施投资增长3.8%。高技术制造业、装备制造业投资比上年分别增长16.1%和11.1%，分别比制造业</w:t>
      </w:r>
      <w:proofErr w:type="gramStart"/>
      <w:r>
        <w:rPr>
          <w:rFonts w:ascii="微软雅黑" w:eastAsia="微软雅黑" w:hAnsi="微软雅黑" w:cs="微软雅黑" w:hint="eastAsia"/>
          <w:szCs w:val="21"/>
        </w:rPr>
        <w:t>投资快</w:t>
      </w:r>
      <w:proofErr w:type="gramEnd"/>
      <w:r>
        <w:rPr>
          <w:rFonts w:ascii="微软雅黑" w:eastAsia="微软雅黑" w:hAnsi="微软雅黑" w:cs="微软雅黑" w:hint="eastAsia"/>
          <w:szCs w:val="21"/>
        </w:rPr>
        <w:t>6.6和1.6个百分点。全年全国房地产开发投资120264亿元，比上年增长9.5%。全国商品房销售面积171654万平方米，增长 1.3%，其中住宅销售面积增长2.2%。全国商品房销售额149973亿元，增长12.2%，其中住宅销售额增长14.7%。</w:t>
      </w:r>
    </w:p>
    <w:p w:rsidR="009519D8" w:rsidRDefault="009519D8" w:rsidP="009519D8">
      <w:pPr>
        <w:widowControl/>
        <w:jc w:val="center"/>
        <w:rPr>
          <w:rFonts w:ascii="微软雅黑" w:eastAsia="微软雅黑" w:hAnsi="微软雅黑" w:cs="微软雅黑"/>
          <w:kern w:val="0"/>
          <w:szCs w:val="21"/>
        </w:rPr>
      </w:pPr>
      <w:r>
        <w:rPr>
          <w:rFonts w:ascii="微软雅黑" w:eastAsia="微软雅黑" w:hAnsi="微软雅黑" w:cs="微软雅黑" w:hint="eastAsia"/>
          <w:noProof/>
          <w:szCs w:val="21"/>
        </w:rPr>
        <w:drawing>
          <wp:inline distT="0" distB="0" distL="0" distR="0">
            <wp:extent cx="4954905" cy="2823845"/>
            <wp:effectExtent l="4445" t="4445" r="8890" b="6350"/>
            <wp:docPr id="4" name="图表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519D8" w:rsidRDefault="009519D8" w:rsidP="009519D8">
      <w:pPr>
        <w:spacing w:line="46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全年社会消费品零售总额380987亿元，比上年增长9.0%，保持较快增长。其中，限额以上单位消费品零售额145311亿元，增长5.7%。按经营单位所在地分，城镇消费品零售额325637亿元，增</w:t>
      </w:r>
      <w:r>
        <w:rPr>
          <w:rFonts w:ascii="微软雅黑" w:eastAsia="微软雅黑" w:hAnsi="微软雅黑" w:cs="微软雅黑" w:hint="eastAsia"/>
          <w:szCs w:val="21"/>
        </w:rPr>
        <w:lastRenderedPageBreak/>
        <w:t>长8.8%；乡村消费品零售额55350亿元，增长10.1%。</w:t>
      </w:r>
    </w:p>
    <w:p w:rsidR="009519D8" w:rsidRDefault="009519D8" w:rsidP="009519D8">
      <w:pPr>
        <w:spacing w:line="460" w:lineRule="exact"/>
        <w:ind w:firstLineChars="200" w:firstLine="420"/>
        <w:rPr>
          <w:rFonts w:ascii="微软雅黑" w:eastAsia="微软雅黑" w:hAnsi="微软雅黑" w:cs="微软雅黑"/>
          <w:b/>
          <w:szCs w:val="21"/>
        </w:rPr>
      </w:pPr>
    </w:p>
    <w:p w:rsidR="009519D8" w:rsidRDefault="009519D8" w:rsidP="009519D8">
      <w:pPr>
        <w:spacing w:line="460" w:lineRule="exact"/>
        <w:ind w:firstLineChars="200" w:firstLine="420"/>
        <w:rPr>
          <w:rFonts w:ascii="微软雅黑" w:eastAsia="微软雅黑" w:hAnsi="微软雅黑" w:cs="微软雅黑"/>
          <w:b/>
          <w:szCs w:val="21"/>
        </w:rPr>
      </w:pPr>
      <w:r>
        <w:rPr>
          <w:rFonts w:ascii="微软雅黑" w:eastAsia="微软雅黑" w:hAnsi="微软雅黑" w:cs="微软雅黑" w:hint="eastAsia"/>
          <w:b/>
          <w:szCs w:val="21"/>
        </w:rPr>
        <w:t xml:space="preserve">2. 贸易顺差继续收窄  实际使用外资稍增  </w:t>
      </w:r>
    </w:p>
    <w:p w:rsidR="009519D8" w:rsidRDefault="009519D8" w:rsidP="009519D8">
      <w:pPr>
        <w:spacing w:line="46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全年货物进出口总额305050亿元，比上年增长9.7%。其中，出口164177亿元，增长7.1%；进口140874亿元，增长12.9%。进出口相抵，顺差为23303亿元，比上年收窄18.3%。我国对主要贸易伙伴进出口全面增长，对欧盟、美国和东盟进出口分别增长7.9%、5.7%和11.2%；与“一带一路”沿线国家进出口增势良好，对“一带一路”沿线国家合计进出口增长13.3%，高出货物进出口总额增速3.6个百分点。全年规模以上工业企业实现出口交货值123932亿元，比上年增长8.5%。</w:t>
      </w:r>
    </w:p>
    <w:p w:rsidR="009519D8" w:rsidRDefault="009519D8" w:rsidP="009519D8">
      <w:pPr>
        <w:spacing w:line="46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1-12月，全国新设立外商投资企业60533家，同比增长69.8%；实际使用外资8856.1亿元人民币，同比增长0.9%。</w:t>
      </w:r>
    </w:p>
    <w:p w:rsidR="009519D8" w:rsidRDefault="009519D8" w:rsidP="009519D8">
      <w:pPr>
        <w:spacing w:line="46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2018年全年，我国全行业对外直接投资1298.3亿美元，同比增长4.2%。其中，对外金融类直接投资93.3亿美元，同比增长105.1%；对外非金融类直接投资1205亿美元，同比增长0.3%。</w:t>
      </w:r>
    </w:p>
    <w:p w:rsidR="009519D8" w:rsidRDefault="009519D8" w:rsidP="009519D8">
      <w:pPr>
        <w:numPr>
          <w:ilvl w:val="0"/>
          <w:numId w:val="5"/>
        </w:numPr>
        <w:spacing w:line="460" w:lineRule="exact"/>
        <w:ind w:firstLineChars="200" w:firstLine="420"/>
        <w:rPr>
          <w:rFonts w:ascii="微软雅黑" w:eastAsia="微软雅黑" w:hAnsi="微软雅黑" w:cs="微软雅黑"/>
          <w:b/>
          <w:szCs w:val="21"/>
        </w:rPr>
      </w:pPr>
      <w:r>
        <w:rPr>
          <w:rFonts w:ascii="微软雅黑" w:eastAsia="微软雅黑" w:hAnsi="微软雅黑" w:cs="微软雅黑" w:hint="eastAsia"/>
          <w:b/>
          <w:szCs w:val="21"/>
        </w:rPr>
        <w:t>财政收入增速略降  政府基金收支大增</w:t>
      </w:r>
    </w:p>
    <w:p w:rsidR="009519D8" w:rsidRDefault="009519D8" w:rsidP="009519D8">
      <w:pPr>
        <w:spacing w:line="46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1-12月累计，全国一般公共预算收入183352亿元，同比增长6.2%。其中，中央一般公共预算收入85447亿元，同比增长5.3%；地方一般公共预算本级收入97905亿元，同比增长7%。全国一般公共预算收入中的税收收入156401亿元，同比增长8.3%；非税收入26951亿元，同比下降4.7%。 </w:t>
      </w:r>
    </w:p>
    <w:p w:rsidR="009519D8" w:rsidRDefault="009519D8" w:rsidP="009519D8">
      <w:pPr>
        <w:jc w:val="center"/>
        <w:rPr>
          <w:rFonts w:ascii="微软雅黑" w:eastAsia="微软雅黑" w:hAnsi="微软雅黑" w:cs="微软雅黑"/>
          <w:szCs w:val="21"/>
        </w:rPr>
      </w:pPr>
      <w:r>
        <w:rPr>
          <w:rFonts w:ascii="微软雅黑" w:eastAsia="微软雅黑" w:hAnsi="微软雅黑" w:cs="微软雅黑" w:hint="eastAsia"/>
          <w:noProof/>
          <w:szCs w:val="21"/>
        </w:rPr>
        <w:drawing>
          <wp:inline distT="0" distB="0" distL="0" distR="0">
            <wp:extent cx="5274310" cy="2928620"/>
            <wp:effectExtent l="4445" t="4445" r="9525" b="8255"/>
            <wp:docPr id="6" name="图表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519D8" w:rsidRDefault="009519D8" w:rsidP="009519D8">
      <w:pPr>
        <w:spacing w:line="46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1-12月累计，全国一般公共预算支出220906亿元，同比增长8.7%。其中，中央一般公共预算本级支出32708亿元，同比增长8.8%；地方一般公共预算支出188198亿元，同比增长8.7%。 </w:t>
      </w:r>
    </w:p>
    <w:p w:rsidR="009519D8" w:rsidRDefault="009519D8" w:rsidP="009519D8">
      <w:pPr>
        <w:spacing w:line="46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1-12月累计，全国政府性基金预算收入75405亿元，同比增长22.6%。其中，中央政府性基金预算收入4033亿元，同比增长4.2%；地方政府性基金预算本级收入71372亿元，同比增长23.8%，其中土地使用权出让收入65096亿元，同比增长25%。 </w:t>
      </w:r>
    </w:p>
    <w:p w:rsidR="009519D8" w:rsidRDefault="009519D8" w:rsidP="009519D8">
      <w:pPr>
        <w:spacing w:line="46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lastRenderedPageBreak/>
        <w:t>1-12月累计，全国政府性基金预算支出80562亿元，同比增长32.1%。其中，中央政府性基金预算本级支出3089亿元，同比增长13.4%；地方政府性基金预算支出77473亿元，同比增长32.9%，其中土地出让收入相关支出69941亿元，同比增长34.2%。 </w:t>
      </w:r>
    </w:p>
    <w:p w:rsidR="009519D8" w:rsidRDefault="009519D8" w:rsidP="009519D8">
      <w:pPr>
        <w:numPr>
          <w:ilvl w:val="0"/>
          <w:numId w:val="5"/>
        </w:numPr>
        <w:spacing w:line="460" w:lineRule="exact"/>
        <w:ind w:firstLineChars="200" w:firstLine="420"/>
        <w:rPr>
          <w:rFonts w:ascii="微软雅黑" w:eastAsia="微软雅黑" w:hAnsi="微软雅黑" w:cs="微软雅黑"/>
          <w:b/>
          <w:szCs w:val="21"/>
        </w:rPr>
      </w:pPr>
      <w:r>
        <w:rPr>
          <w:rFonts w:ascii="微软雅黑" w:eastAsia="微软雅黑" w:hAnsi="微软雅黑" w:cs="微软雅黑" w:hint="eastAsia"/>
          <w:b/>
          <w:szCs w:val="21"/>
        </w:rPr>
        <w:t>狭义货币增速锐减  贷款增速加快</w:t>
      </w:r>
    </w:p>
    <w:p w:rsidR="009519D8" w:rsidRDefault="009519D8" w:rsidP="009519D8">
      <w:pPr>
        <w:spacing w:line="46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12月末，广义货币(M2)余额182.67</w:t>
      </w:r>
      <w:proofErr w:type="gramStart"/>
      <w:r>
        <w:rPr>
          <w:rFonts w:ascii="微软雅黑" w:eastAsia="微软雅黑" w:hAnsi="微软雅黑" w:cs="微软雅黑" w:hint="eastAsia"/>
          <w:szCs w:val="21"/>
        </w:rPr>
        <w:t>万亿</w:t>
      </w:r>
      <w:proofErr w:type="gramEnd"/>
      <w:r>
        <w:rPr>
          <w:rFonts w:ascii="微软雅黑" w:eastAsia="微软雅黑" w:hAnsi="微软雅黑" w:cs="微软雅黑" w:hint="eastAsia"/>
          <w:szCs w:val="21"/>
        </w:rPr>
        <w:t>元,同比增长8.1%，增速比上月末高0.1个百分点，与上年同期持平；狭义货币(M1)余额55.17</w:t>
      </w:r>
      <w:proofErr w:type="gramStart"/>
      <w:r>
        <w:rPr>
          <w:rFonts w:ascii="微软雅黑" w:eastAsia="微软雅黑" w:hAnsi="微软雅黑" w:cs="微软雅黑" w:hint="eastAsia"/>
          <w:szCs w:val="21"/>
        </w:rPr>
        <w:t>万亿</w:t>
      </w:r>
      <w:proofErr w:type="gramEnd"/>
      <w:r>
        <w:rPr>
          <w:rFonts w:ascii="微软雅黑" w:eastAsia="微软雅黑" w:hAnsi="微软雅黑" w:cs="微软雅黑" w:hint="eastAsia"/>
          <w:szCs w:val="21"/>
        </w:rPr>
        <w:t>元,同比增长1.5%，增速比上年同期低10.3个百分点；流通中货币(M0)余额7.32</w:t>
      </w:r>
      <w:proofErr w:type="gramStart"/>
      <w:r>
        <w:rPr>
          <w:rFonts w:ascii="微软雅黑" w:eastAsia="微软雅黑" w:hAnsi="微软雅黑" w:cs="微软雅黑" w:hint="eastAsia"/>
          <w:szCs w:val="21"/>
        </w:rPr>
        <w:t>万亿</w:t>
      </w:r>
      <w:proofErr w:type="gramEnd"/>
      <w:r>
        <w:rPr>
          <w:rFonts w:ascii="微软雅黑" w:eastAsia="微软雅黑" w:hAnsi="微软雅黑" w:cs="微软雅黑" w:hint="eastAsia"/>
          <w:szCs w:val="21"/>
        </w:rPr>
        <w:t>元,同比增长3.6%。全年净投放现金2563亿元。</w:t>
      </w:r>
    </w:p>
    <w:p w:rsidR="009519D8" w:rsidRDefault="009519D8" w:rsidP="009519D8">
      <w:pPr>
        <w:spacing w:line="46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12月末，本外币贷款余额141.75</w:t>
      </w:r>
      <w:proofErr w:type="gramStart"/>
      <w:r>
        <w:rPr>
          <w:rFonts w:ascii="微软雅黑" w:eastAsia="微软雅黑" w:hAnsi="微软雅黑" w:cs="微软雅黑" w:hint="eastAsia"/>
          <w:szCs w:val="21"/>
        </w:rPr>
        <w:t>万亿</w:t>
      </w:r>
      <w:proofErr w:type="gramEnd"/>
      <w:r>
        <w:rPr>
          <w:rFonts w:ascii="微软雅黑" w:eastAsia="微软雅黑" w:hAnsi="微软雅黑" w:cs="微软雅黑" w:hint="eastAsia"/>
          <w:szCs w:val="21"/>
        </w:rPr>
        <w:t>元，同比增长12.9%，同比加快0.8个百分点。全年人民币贷款增加16.17</w:t>
      </w:r>
      <w:proofErr w:type="gramStart"/>
      <w:r>
        <w:rPr>
          <w:rFonts w:ascii="微软雅黑" w:eastAsia="微软雅黑" w:hAnsi="微软雅黑" w:cs="微软雅黑" w:hint="eastAsia"/>
          <w:szCs w:val="21"/>
        </w:rPr>
        <w:t>万亿</w:t>
      </w:r>
      <w:proofErr w:type="gramEnd"/>
      <w:r>
        <w:rPr>
          <w:rFonts w:ascii="微软雅黑" w:eastAsia="微软雅黑" w:hAnsi="微软雅黑" w:cs="微软雅黑" w:hint="eastAsia"/>
          <w:szCs w:val="21"/>
        </w:rPr>
        <w:t>元，同比多增2.64</w:t>
      </w:r>
      <w:proofErr w:type="gramStart"/>
      <w:r>
        <w:rPr>
          <w:rFonts w:ascii="微软雅黑" w:eastAsia="微软雅黑" w:hAnsi="微软雅黑" w:cs="微软雅黑" w:hint="eastAsia"/>
          <w:szCs w:val="21"/>
        </w:rPr>
        <w:t>万亿</w:t>
      </w:r>
      <w:proofErr w:type="gramEnd"/>
      <w:r>
        <w:rPr>
          <w:rFonts w:ascii="微软雅黑" w:eastAsia="微软雅黑" w:hAnsi="微软雅黑" w:cs="微软雅黑" w:hint="eastAsia"/>
          <w:szCs w:val="21"/>
        </w:rPr>
        <w:t>元。全年外币贷款减少431亿美元，同比多减953亿美元。</w:t>
      </w:r>
    </w:p>
    <w:p w:rsidR="009519D8" w:rsidRDefault="009519D8" w:rsidP="009519D8">
      <w:pPr>
        <w:spacing w:line="46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12月末，本外币存款余额182.52</w:t>
      </w:r>
      <w:proofErr w:type="gramStart"/>
      <w:r>
        <w:rPr>
          <w:rFonts w:ascii="微软雅黑" w:eastAsia="微软雅黑" w:hAnsi="微软雅黑" w:cs="微软雅黑" w:hint="eastAsia"/>
          <w:szCs w:val="21"/>
        </w:rPr>
        <w:t>万亿</w:t>
      </w:r>
      <w:proofErr w:type="gramEnd"/>
      <w:r>
        <w:rPr>
          <w:rFonts w:ascii="微软雅黑" w:eastAsia="微软雅黑" w:hAnsi="微软雅黑" w:cs="微软雅黑" w:hint="eastAsia"/>
          <w:szCs w:val="21"/>
        </w:rPr>
        <w:t>元，同比增长7.8%。全年人民币存款增加13.4</w:t>
      </w:r>
      <w:proofErr w:type="gramStart"/>
      <w:r>
        <w:rPr>
          <w:rFonts w:ascii="微软雅黑" w:eastAsia="微软雅黑" w:hAnsi="微软雅黑" w:cs="微软雅黑" w:hint="eastAsia"/>
          <w:szCs w:val="21"/>
        </w:rPr>
        <w:t>万亿</w:t>
      </w:r>
      <w:proofErr w:type="gramEnd"/>
      <w:r>
        <w:rPr>
          <w:rFonts w:ascii="微软雅黑" w:eastAsia="微软雅黑" w:hAnsi="微软雅黑" w:cs="微软雅黑" w:hint="eastAsia"/>
          <w:szCs w:val="21"/>
        </w:rPr>
        <w:t>元，同比少增1071亿元。全年外币存款减少634亿美元，同比多减1413亿美元。</w:t>
      </w:r>
    </w:p>
    <w:p w:rsidR="009519D8" w:rsidRDefault="009519D8" w:rsidP="009519D8">
      <w:pPr>
        <w:numPr>
          <w:ilvl w:val="0"/>
          <w:numId w:val="5"/>
        </w:numPr>
        <w:spacing w:line="460" w:lineRule="exact"/>
        <w:ind w:firstLineChars="200" w:firstLine="420"/>
        <w:rPr>
          <w:rFonts w:ascii="微软雅黑" w:eastAsia="微软雅黑" w:hAnsi="微软雅黑" w:cs="微软雅黑"/>
          <w:b/>
          <w:szCs w:val="21"/>
        </w:rPr>
      </w:pPr>
      <w:r>
        <w:rPr>
          <w:rFonts w:ascii="微软雅黑" w:eastAsia="微软雅黑" w:hAnsi="微软雅黑" w:cs="微软雅黑" w:hint="eastAsia"/>
          <w:b/>
          <w:szCs w:val="21"/>
        </w:rPr>
        <w:t>银行间市场交易活跃  加权平均利率波动不大</w:t>
      </w:r>
    </w:p>
    <w:p w:rsidR="009519D8" w:rsidRDefault="009519D8" w:rsidP="009519D8">
      <w:pPr>
        <w:spacing w:line="46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2018年银行间人民币市场以拆借、现券和回购方式合计成交1012.71</w:t>
      </w:r>
      <w:proofErr w:type="gramStart"/>
      <w:r>
        <w:rPr>
          <w:rFonts w:ascii="微软雅黑" w:eastAsia="微软雅黑" w:hAnsi="微软雅黑" w:cs="微软雅黑" w:hint="eastAsia"/>
          <w:szCs w:val="21"/>
        </w:rPr>
        <w:t>万亿</w:t>
      </w:r>
      <w:proofErr w:type="gramEnd"/>
      <w:r>
        <w:rPr>
          <w:rFonts w:ascii="微软雅黑" w:eastAsia="微软雅黑" w:hAnsi="微软雅黑" w:cs="微软雅黑" w:hint="eastAsia"/>
          <w:szCs w:val="21"/>
        </w:rPr>
        <w:t>元，日均成交4.02</w:t>
      </w:r>
      <w:proofErr w:type="gramStart"/>
      <w:r>
        <w:rPr>
          <w:rFonts w:ascii="微软雅黑" w:eastAsia="微软雅黑" w:hAnsi="微软雅黑" w:cs="微软雅黑" w:hint="eastAsia"/>
          <w:szCs w:val="21"/>
        </w:rPr>
        <w:t>万亿</w:t>
      </w:r>
      <w:proofErr w:type="gramEnd"/>
      <w:r>
        <w:rPr>
          <w:rFonts w:ascii="微软雅黑" w:eastAsia="微软雅黑" w:hAnsi="微软雅黑" w:cs="微软雅黑" w:hint="eastAsia"/>
          <w:szCs w:val="21"/>
        </w:rPr>
        <w:t>元，日均成交比上年同期增长26.4%。其中，同业拆借日均成交同比增长75.7%，现券日均成交同比增长46%，质押式回购日均成交同比增长20%。</w:t>
      </w:r>
    </w:p>
    <w:p w:rsidR="009519D8" w:rsidRDefault="009519D8" w:rsidP="009519D8">
      <w:pPr>
        <w:spacing w:line="46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12月份同业拆借加权平均利率为2.57%，比上月末高0.08个百分点，比上年同期低0.34个百分点；质押式回购加权平均利率为2.68%，比上月末高0.22个百分点，比上年同期低0.43个百分点。</w:t>
      </w:r>
    </w:p>
    <w:p w:rsidR="009519D8" w:rsidRDefault="009519D8" w:rsidP="009519D8">
      <w:pPr>
        <w:numPr>
          <w:ilvl w:val="0"/>
          <w:numId w:val="5"/>
        </w:numPr>
        <w:spacing w:line="460" w:lineRule="exact"/>
        <w:ind w:firstLineChars="200" w:firstLine="420"/>
        <w:rPr>
          <w:rFonts w:ascii="微软雅黑" w:eastAsia="微软雅黑" w:hAnsi="微软雅黑" w:cs="微软雅黑"/>
          <w:b/>
          <w:szCs w:val="21"/>
        </w:rPr>
      </w:pPr>
      <w:r>
        <w:rPr>
          <w:rFonts w:ascii="微软雅黑" w:eastAsia="微软雅黑" w:hAnsi="微软雅黑" w:cs="微软雅黑" w:hint="eastAsia"/>
          <w:b/>
          <w:szCs w:val="21"/>
        </w:rPr>
        <w:t>中国股市全球垫底  A股投资者人均亏损近10万</w:t>
      </w:r>
    </w:p>
    <w:p w:rsidR="009519D8" w:rsidRDefault="009519D8" w:rsidP="009519D8">
      <w:pPr>
        <w:spacing w:line="46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在中美贸易冲突、美联储加息、地区增长放缓的大背景下，2018年全球股市普遍下跌，多国股市</w:t>
      </w:r>
      <w:proofErr w:type="gramStart"/>
      <w:r>
        <w:rPr>
          <w:rFonts w:ascii="微软雅黑" w:eastAsia="微软雅黑" w:hAnsi="微软雅黑" w:cs="微软雅黑" w:hint="eastAsia"/>
          <w:szCs w:val="21"/>
        </w:rPr>
        <w:t>创金融</w:t>
      </w:r>
      <w:proofErr w:type="gramEnd"/>
      <w:r>
        <w:rPr>
          <w:rFonts w:ascii="微软雅黑" w:eastAsia="微软雅黑" w:hAnsi="微软雅黑" w:cs="微软雅黑" w:hint="eastAsia"/>
          <w:szCs w:val="21"/>
        </w:rPr>
        <w:t>危机以来最差成绩，A股在全球主要股指中表现垫底。</w:t>
      </w:r>
    </w:p>
    <w:p w:rsidR="009519D8" w:rsidRDefault="009519D8" w:rsidP="009519D8">
      <w:pPr>
        <w:spacing w:line="46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2018年，上证综指收于2493.90点，全年跌幅达24.6%，深成指跌幅34%，二者均为历史第二大跌幅，仅次于2008年；创业板全年跌幅近29%。A股全年市值蒸发近2.4</w:t>
      </w:r>
      <w:proofErr w:type="gramStart"/>
      <w:r>
        <w:rPr>
          <w:rFonts w:ascii="微软雅黑" w:eastAsia="微软雅黑" w:hAnsi="微软雅黑" w:cs="微软雅黑" w:hint="eastAsia"/>
          <w:szCs w:val="21"/>
        </w:rPr>
        <w:t>万亿</w:t>
      </w:r>
      <w:proofErr w:type="gramEnd"/>
      <w:r>
        <w:rPr>
          <w:rFonts w:ascii="微软雅黑" w:eastAsia="微软雅黑" w:hAnsi="微软雅黑" w:cs="微软雅黑" w:hint="eastAsia"/>
          <w:szCs w:val="21"/>
        </w:rPr>
        <w:t>美元。以2018年A股期末投资者数量1.45亿计算，投资者人均亏损9.9万元。</w:t>
      </w:r>
    </w:p>
    <w:p w:rsidR="009519D8" w:rsidRDefault="009519D8" w:rsidP="009519D8">
      <w:pPr>
        <w:spacing w:line="46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2018年全球主要股指普遍下跌，全球股市市值减值近12</w:t>
      </w:r>
      <w:proofErr w:type="gramStart"/>
      <w:r>
        <w:rPr>
          <w:rFonts w:ascii="微软雅黑" w:eastAsia="微软雅黑" w:hAnsi="微软雅黑" w:cs="微软雅黑" w:hint="eastAsia"/>
          <w:szCs w:val="21"/>
        </w:rPr>
        <w:t>万亿</w:t>
      </w:r>
      <w:proofErr w:type="gramEnd"/>
      <w:r>
        <w:rPr>
          <w:rFonts w:ascii="微软雅黑" w:eastAsia="微软雅黑" w:hAnsi="微软雅黑" w:cs="微软雅黑" w:hint="eastAsia"/>
          <w:szCs w:val="21"/>
        </w:rPr>
        <w:t>美元，创历史第二大记录。美国道琼斯指数下跌5.6%，</w:t>
      </w:r>
      <w:proofErr w:type="gramStart"/>
      <w:r>
        <w:rPr>
          <w:rFonts w:ascii="微软雅黑" w:eastAsia="微软雅黑" w:hAnsi="微软雅黑" w:cs="微软雅黑" w:hint="eastAsia"/>
          <w:szCs w:val="21"/>
        </w:rPr>
        <w:t>纳指终结</w:t>
      </w:r>
      <w:proofErr w:type="gramEnd"/>
      <w:r>
        <w:rPr>
          <w:rFonts w:ascii="微软雅黑" w:eastAsia="微软雅黑" w:hAnsi="微软雅黑" w:cs="微软雅黑" w:hint="eastAsia"/>
          <w:szCs w:val="21"/>
        </w:rPr>
        <w:t>六年连涨，</w:t>
      </w:r>
      <w:proofErr w:type="gramStart"/>
      <w:r>
        <w:rPr>
          <w:rFonts w:ascii="微软雅黑" w:eastAsia="微软雅黑" w:hAnsi="微软雅黑" w:cs="微软雅黑" w:hint="eastAsia"/>
          <w:szCs w:val="21"/>
        </w:rPr>
        <w:t>标普和</w:t>
      </w:r>
      <w:proofErr w:type="gramEnd"/>
      <w:r>
        <w:rPr>
          <w:rFonts w:ascii="微软雅黑" w:eastAsia="微软雅黑" w:hAnsi="微软雅黑" w:cs="微软雅黑" w:hint="eastAsia"/>
          <w:szCs w:val="21"/>
        </w:rPr>
        <w:t>道指三年以来首次年度下跌；日本日经225指数全年跌幅近13%，韩国</w:t>
      </w:r>
      <w:proofErr w:type="gramStart"/>
      <w:r>
        <w:rPr>
          <w:rFonts w:ascii="微软雅黑" w:eastAsia="微软雅黑" w:hAnsi="微软雅黑" w:cs="微软雅黑" w:hint="eastAsia"/>
          <w:szCs w:val="21"/>
        </w:rPr>
        <w:t>首尔综</w:t>
      </w:r>
      <w:proofErr w:type="gramEnd"/>
      <w:r>
        <w:rPr>
          <w:rFonts w:ascii="微软雅黑" w:eastAsia="微软雅黑" w:hAnsi="微软雅黑" w:cs="微软雅黑" w:hint="eastAsia"/>
          <w:szCs w:val="21"/>
        </w:rPr>
        <w:t>指数全年累计下跌17.3%，香港恒生指数全年下挫14%，MSCI除日本外的亚太股指全年跌幅为16%；MSCI新兴市场股市全年下跌近17%；欧洲STOXX 600指数全年累计下跌约13％。</w:t>
      </w:r>
    </w:p>
    <w:p w:rsidR="009519D8" w:rsidRDefault="009519D8" w:rsidP="009519D8">
      <w:pPr>
        <w:jc w:val="center"/>
        <w:rPr>
          <w:rFonts w:ascii="微软雅黑" w:eastAsia="微软雅黑" w:hAnsi="微软雅黑" w:cs="微软雅黑"/>
          <w:szCs w:val="21"/>
        </w:rPr>
      </w:pPr>
      <w:r>
        <w:rPr>
          <w:rFonts w:ascii="微软雅黑" w:eastAsia="微软雅黑" w:hAnsi="微软雅黑" w:cs="微软雅黑" w:hint="eastAsia"/>
          <w:noProof/>
          <w:szCs w:val="21"/>
        </w:rPr>
        <w:lastRenderedPageBreak/>
        <w:drawing>
          <wp:inline distT="0" distB="0" distL="0" distR="0">
            <wp:extent cx="5242560" cy="2186940"/>
            <wp:effectExtent l="9525" t="9525" r="20955" b="13335"/>
            <wp:docPr id="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cstate="print"/>
                    <a:stretch>
                      <a:fillRect/>
                    </a:stretch>
                  </pic:blipFill>
                  <pic:spPr>
                    <a:xfrm>
                      <a:off x="0" y="0"/>
                      <a:ext cx="5242560" cy="2186940"/>
                    </a:xfrm>
                    <a:prstGeom prst="rect">
                      <a:avLst/>
                    </a:prstGeom>
                    <a:ln>
                      <a:solidFill>
                        <a:srgbClr val="2B92D1"/>
                      </a:solidFill>
                    </a:ln>
                  </pic:spPr>
                </pic:pic>
              </a:graphicData>
            </a:graphic>
          </wp:inline>
        </w:drawing>
      </w:r>
    </w:p>
    <w:p w:rsidR="009519D8" w:rsidRDefault="009519D8" w:rsidP="009519D8">
      <w:pPr>
        <w:spacing w:line="460" w:lineRule="exact"/>
        <w:ind w:firstLineChars="200" w:firstLine="420"/>
        <w:jc w:val="left"/>
        <w:rPr>
          <w:rFonts w:ascii="微软雅黑" w:eastAsia="微软雅黑" w:hAnsi="微软雅黑" w:cs="微软雅黑"/>
          <w:b/>
          <w:szCs w:val="21"/>
        </w:rPr>
      </w:pPr>
      <w:r>
        <w:rPr>
          <w:rFonts w:ascii="微软雅黑" w:eastAsia="微软雅黑" w:hAnsi="微软雅黑" w:cs="微软雅黑" w:hint="eastAsia"/>
          <w:b/>
          <w:szCs w:val="21"/>
        </w:rPr>
        <w:t>三，政策效应</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b/>
          <w:bCs/>
          <w:szCs w:val="21"/>
        </w:rPr>
        <w:t>1. GDP走势及其核算</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szCs w:val="21"/>
        </w:rPr>
        <w:t>2018年，中国国内生产总值900309亿元，比上年增长6.6%，完成了年初政府设定6.5%的增长目标。按平均汇率折算，经济总量约13.6</w:t>
      </w:r>
      <w:proofErr w:type="gramStart"/>
      <w:r>
        <w:rPr>
          <w:rFonts w:ascii="微软雅黑" w:eastAsia="微软雅黑" w:hAnsi="微软雅黑" w:cs="微软雅黑" w:hint="eastAsia"/>
          <w:szCs w:val="21"/>
        </w:rPr>
        <w:t>万亿</w:t>
      </w:r>
      <w:proofErr w:type="gramEnd"/>
      <w:r>
        <w:rPr>
          <w:rFonts w:ascii="微软雅黑" w:eastAsia="微软雅黑" w:hAnsi="微软雅黑" w:cs="微软雅黑" w:hint="eastAsia"/>
          <w:szCs w:val="21"/>
        </w:rPr>
        <w:t>美元，按年末大陆人口139538万人计算，人均GDP达9746美元，接近1万美元。在内外形势复杂多变、相当不确定的情况下，能够取得这样的增长实绩，确属不易。</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szCs w:val="21"/>
        </w:rPr>
        <w:t>2019年1月18日，国家统计局公布了2017年GDP最终核实数据，为现价820754亿元，</w:t>
      </w:r>
      <w:proofErr w:type="gramStart"/>
      <w:r>
        <w:rPr>
          <w:rFonts w:ascii="微软雅黑" w:eastAsia="微软雅黑" w:hAnsi="微软雅黑" w:cs="微软雅黑" w:hint="eastAsia"/>
          <w:szCs w:val="21"/>
        </w:rPr>
        <w:t>比初步</w:t>
      </w:r>
      <w:proofErr w:type="gramEnd"/>
      <w:r>
        <w:rPr>
          <w:rFonts w:ascii="微软雅黑" w:eastAsia="微软雅黑" w:hAnsi="微软雅黑" w:cs="微软雅黑" w:hint="eastAsia"/>
          <w:szCs w:val="21"/>
        </w:rPr>
        <w:t>核算数少了6367亿元，按不变价格计算，比2016年增长6.8%，</w:t>
      </w:r>
      <w:proofErr w:type="gramStart"/>
      <w:r>
        <w:rPr>
          <w:rFonts w:ascii="微软雅黑" w:eastAsia="微软雅黑" w:hAnsi="微软雅黑" w:cs="微软雅黑" w:hint="eastAsia"/>
          <w:szCs w:val="21"/>
        </w:rPr>
        <w:t>比初步</w:t>
      </w:r>
      <w:proofErr w:type="gramEnd"/>
      <w:r>
        <w:rPr>
          <w:rFonts w:ascii="微软雅黑" w:eastAsia="微软雅黑" w:hAnsi="微软雅黑" w:cs="微软雅黑" w:hint="eastAsia"/>
          <w:szCs w:val="21"/>
        </w:rPr>
        <w:t>核算数调降0.1个百分点。2018年的GDP增长率是按照调整后的数据计算的。根据中信宏观研究，2018年全年的GDP平减指数大约是3.7%，要达到6.5%的增长速度，全年GDP的名义增长率应为10.2%，名义值应为904470.9亿元。而统计局公布的数据分别是9.69%（=900309/820754-1）%和900309亿元。这里的差别出在了平减指数上。</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szCs w:val="21"/>
        </w:rPr>
        <w:t>应当指出，统计局的GDP核算分为两步，第一步当年进行初步核算，第二步次年再进行核实。这是统计工作的规定程序，核增核减都有可能，本无可厚非。统计局未公布平减指数。按照其公布的数据计算，2018年全年的平减指数是3.09%（=900309/820754-1.066）%（严格地说是103.9%）。按此计算，如果2017年GDP不核减6367亿元，今年的GDP增长率只有5.76%（900309/827121-1.039）%。</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szCs w:val="21"/>
        </w:rPr>
        <w:t>按照统计局公布的数据，2018年4个季度GDP的增长率分别是6.8%、6.7%、6.5%和6.4%。很明显，呈逐季回落态势，再加上我们后面的讨论，“总体平稳，稳中有进”的结论有点言过其实，还是那种报喜不报忧的套路。可喜的是，制造业增速加快，高技术制造业、战略性新兴产业和装备制造业增长速度都在8%以上。</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szCs w:val="21"/>
        </w:rPr>
        <w:t>统计局没有公布2017年分季度的核实数据，如果用当年第4季度的初步核算数据（233834亿元）计算，那么，2018年第4季度GDP的增长率只有3.57%（=249410.2/233834-1.0309）%。即使</w:t>
      </w:r>
      <w:r>
        <w:rPr>
          <w:rFonts w:ascii="微软雅黑" w:eastAsia="微软雅黑" w:hAnsi="微软雅黑" w:cs="微软雅黑" w:hint="eastAsia"/>
          <w:szCs w:val="21"/>
        </w:rPr>
        <w:lastRenderedPageBreak/>
        <w:t>把2017年核减的6367亿元按4个季度平分（每季1591.75亿元），2018年第4季度的GDP增长率也只有4.3%（249410.2/232242.25-1.0309）%。如果按全年的平减指数计算，第4季度要达到6.4%的增长率，那么，2017年第4季度的GDP现值核实数应为227792.7亿元〔249410.2/（1.066+1.0309）〕，也就是说，2017年第4季度GDP应当核减6041.3亿元，占当年核减数的94.9%，只比全年核减数少325.7亿元。我们认为，事实并不如此，统计核算也不会做成这个样子。</w:t>
      </w:r>
      <w:proofErr w:type="gramStart"/>
      <w:r>
        <w:rPr>
          <w:rFonts w:ascii="微软雅黑" w:eastAsia="微软雅黑" w:hAnsi="微软雅黑" w:cs="微软雅黑" w:hint="eastAsia"/>
          <w:szCs w:val="21"/>
        </w:rPr>
        <w:t>至于问题</w:t>
      </w:r>
      <w:proofErr w:type="gramEnd"/>
      <w:r>
        <w:rPr>
          <w:rFonts w:ascii="微软雅黑" w:eastAsia="微软雅黑" w:hAnsi="微软雅黑" w:cs="微软雅黑" w:hint="eastAsia"/>
          <w:szCs w:val="21"/>
        </w:rPr>
        <w:t>出在什么地方，看了上述计算，读者会有自己的答案。可见，数据并不是看上去那么简单明了，而是相当奥妙，有很大学问，值得认真探索和辨析。因此，进行GDP核算和调整，应当注意数据之间的关系，否则，出现漏洞和矛盾，必将招致诟病和质疑。</w:t>
      </w:r>
    </w:p>
    <w:p w:rsidR="009519D8" w:rsidRDefault="009519D8" w:rsidP="009519D8">
      <w:pPr>
        <w:pStyle w:val="af"/>
        <w:numPr>
          <w:ilvl w:val="0"/>
          <w:numId w:val="6"/>
        </w:numPr>
        <w:spacing w:line="460" w:lineRule="exact"/>
        <w:rPr>
          <w:rFonts w:ascii="微软雅黑" w:eastAsia="微软雅黑" w:hAnsi="微软雅黑" w:cs="微软雅黑"/>
          <w:b/>
          <w:bCs/>
          <w:szCs w:val="21"/>
        </w:rPr>
      </w:pPr>
      <w:r>
        <w:rPr>
          <w:rFonts w:ascii="微软雅黑" w:eastAsia="微软雅黑" w:hAnsi="微软雅黑" w:cs="微软雅黑" w:hint="eastAsia"/>
          <w:b/>
          <w:bCs/>
          <w:szCs w:val="21"/>
        </w:rPr>
        <w:t>三大需求因素分析</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szCs w:val="21"/>
        </w:rPr>
        <w:t>从消费来看，2018年，社会消费品零售额增长9%，比上年回落1.2个百分点，比前3个季度回落0.3个百分点，尽管对经济增长的贡献度（76.2%）在提高。消费品零售额下滑的重要原因是，汽车类相关消费出现负增长，家电类消费低迷。2018年全年汽车销售2808万辆，同比下降2.8%。拐点出现在下半年，自2001年开始，国内汽车产销量一路上涨，政策刺激的年份（如2008、2012、2015）增速有明显提升，但刺激效果递减。在过去保有量不高的情况下，受购置税等政策的影响较大，2017年1.6L排量以下的车还能享受7.5%的购置税，2018年1月1日就提高到10%，下滑最大的是低价位的车型，6万元以下的微型车下滑35万辆，6-8万元的车型下滑77万辆，而12万元以上的市场区间全部是增长的，其中，25万元以上的“豪车”增长了11.3%。有人不无讽刺地说，简直是“一副</w:t>
      </w:r>
      <w:proofErr w:type="gramStart"/>
      <w:r>
        <w:rPr>
          <w:rFonts w:ascii="微软雅黑" w:eastAsia="微软雅黑" w:hAnsi="微软雅黑" w:cs="微软雅黑" w:hint="eastAsia"/>
          <w:szCs w:val="21"/>
        </w:rPr>
        <w:t>不</w:t>
      </w:r>
      <w:proofErr w:type="gramEnd"/>
      <w:r>
        <w:rPr>
          <w:rFonts w:ascii="微软雅黑" w:eastAsia="微软雅黑" w:hAnsi="微软雅黑" w:cs="微软雅黑" w:hint="eastAsia"/>
          <w:szCs w:val="21"/>
        </w:rPr>
        <w:t>合时适的消费升级景象”。2018年是中国家电市场的分水岭，在2017年的高速增长之后，市场严冬正在来临。据中</w:t>
      </w:r>
      <w:proofErr w:type="gramStart"/>
      <w:r>
        <w:rPr>
          <w:rFonts w:ascii="微软雅黑" w:eastAsia="微软雅黑" w:hAnsi="微软雅黑" w:cs="微软雅黑" w:hint="eastAsia"/>
          <w:szCs w:val="21"/>
        </w:rPr>
        <w:t>怡</w:t>
      </w:r>
      <w:proofErr w:type="gramEnd"/>
      <w:r>
        <w:rPr>
          <w:rFonts w:ascii="微软雅黑" w:eastAsia="微软雅黑" w:hAnsi="微软雅黑" w:cs="微软雅黑" w:hint="eastAsia"/>
          <w:szCs w:val="21"/>
        </w:rPr>
        <w:t>康统计，1-10月，彩电市场零售3692万台，同比下降2.3%，零售额1137亿元，下降11.1%。白电器除空调外，其他品类几乎没有增长，前几年一直高速增长的厨电，也出现了断崖式下滑。其原因是多方面的。家电行业是一个周期性发展行业，受房地产的发展影响较大，房子限购导致新增需求减少，经济下行导致消费减少，家电新品心意购买动力不足，以及刺激政策的缺席。正因为如此，</w:t>
      </w:r>
      <w:proofErr w:type="gramStart"/>
      <w:r>
        <w:rPr>
          <w:rFonts w:ascii="微软雅黑" w:eastAsia="微软雅黑" w:hAnsi="微软雅黑" w:cs="微软雅黑" w:hint="eastAsia"/>
          <w:szCs w:val="21"/>
        </w:rPr>
        <w:t>发改委</w:t>
      </w:r>
      <w:proofErr w:type="gramEnd"/>
      <w:r>
        <w:rPr>
          <w:rFonts w:ascii="微软雅黑" w:eastAsia="微软雅黑" w:hAnsi="微软雅黑" w:cs="微软雅黑" w:hint="eastAsia"/>
          <w:szCs w:val="21"/>
        </w:rPr>
        <w:t>正准备在2019年重启前些年实施的汽车、家电销售的补贴政策。不过，也有一些令人费解的信息，据报载，工信部提出，要减少和限制老年人低速</w:t>
      </w:r>
      <w:proofErr w:type="gramStart"/>
      <w:r>
        <w:rPr>
          <w:rFonts w:ascii="微软雅黑" w:eastAsia="微软雅黑" w:hAnsi="微软雅黑" w:cs="微软雅黑" w:hint="eastAsia"/>
          <w:szCs w:val="21"/>
        </w:rPr>
        <w:t>代步车</w:t>
      </w:r>
      <w:proofErr w:type="gramEnd"/>
      <w:r>
        <w:rPr>
          <w:rFonts w:ascii="微软雅黑" w:eastAsia="微软雅黑" w:hAnsi="微软雅黑" w:cs="微软雅黑" w:hint="eastAsia"/>
          <w:szCs w:val="21"/>
        </w:rPr>
        <w:t>的生产，难道让老年人都去开快车？</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szCs w:val="21"/>
        </w:rPr>
        <w:t>消费是经济增长中最稳定的因素，一般不会有太大的波动。2018年的消费中也有一些新的亮点。服务消费持续提升，信息消费成为一大特色。中国互联网协会发布的数据显示，2018年信息消费规模5</w:t>
      </w:r>
      <w:proofErr w:type="gramStart"/>
      <w:r>
        <w:rPr>
          <w:rFonts w:ascii="微软雅黑" w:eastAsia="微软雅黑" w:hAnsi="微软雅黑" w:cs="微软雅黑" w:hint="eastAsia"/>
          <w:szCs w:val="21"/>
        </w:rPr>
        <w:t>万亿</w:t>
      </w:r>
      <w:proofErr w:type="gramEnd"/>
      <w:r>
        <w:rPr>
          <w:rFonts w:ascii="微软雅黑" w:eastAsia="微软雅黑" w:hAnsi="微软雅黑" w:cs="微软雅黑" w:hint="eastAsia"/>
          <w:szCs w:val="21"/>
        </w:rPr>
        <w:t>元，增长11%，信息服务消费首次超过信息产品消费。出现了实物消费个性化、服务消费智能化、</w:t>
      </w:r>
      <w:proofErr w:type="gramStart"/>
      <w:r>
        <w:rPr>
          <w:rFonts w:ascii="微软雅黑" w:eastAsia="微软雅黑" w:hAnsi="微软雅黑" w:cs="微软雅黑" w:hint="eastAsia"/>
          <w:szCs w:val="21"/>
        </w:rPr>
        <w:t>文旅消费</w:t>
      </w:r>
      <w:proofErr w:type="gramEnd"/>
      <w:r>
        <w:rPr>
          <w:rFonts w:ascii="微软雅黑" w:eastAsia="微软雅黑" w:hAnsi="微软雅黑" w:cs="微软雅黑" w:hint="eastAsia"/>
          <w:szCs w:val="21"/>
        </w:rPr>
        <w:t>精品化的特征（电子商务研究中心生活服务电商分析师语）据移动数据与分析提供</w:t>
      </w:r>
      <w:proofErr w:type="gramStart"/>
      <w:r>
        <w:rPr>
          <w:rFonts w:ascii="微软雅黑" w:eastAsia="微软雅黑" w:hAnsi="微软雅黑" w:cs="微软雅黑" w:hint="eastAsia"/>
          <w:szCs w:val="21"/>
        </w:rPr>
        <w:t>商安亿</w:t>
      </w:r>
      <w:proofErr w:type="gramEnd"/>
      <w:r>
        <w:rPr>
          <w:rFonts w:ascii="微软雅黑" w:eastAsia="微软雅黑" w:hAnsi="微软雅黑" w:cs="微软雅黑" w:hint="eastAsia"/>
          <w:szCs w:val="21"/>
        </w:rPr>
        <w:t>致用公司发布的《2019移动终端状况》报告，中国是全球最大的智能手机市场之一，2018年，全球消费者花在App上的1010亿美元中，中国贡献了将近4成，包括付费下载、应用内购买和应用内</w:t>
      </w:r>
      <w:r>
        <w:rPr>
          <w:rFonts w:ascii="微软雅黑" w:eastAsia="微软雅黑" w:hAnsi="微软雅黑" w:cs="微软雅黑" w:hint="eastAsia"/>
          <w:szCs w:val="21"/>
        </w:rPr>
        <w:lastRenderedPageBreak/>
        <w:t>订阅等。在全球顶尖的300家技术企业获利的消费者支出中，中国企业获利了32%，大约196亿美元的收入，</w:t>
      </w:r>
      <w:proofErr w:type="gramStart"/>
      <w:r>
        <w:rPr>
          <w:rFonts w:ascii="微软雅黑" w:eastAsia="微软雅黑" w:hAnsi="微软雅黑" w:cs="微软雅黑" w:hint="eastAsia"/>
          <w:szCs w:val="21"/>
        </w:rPr>
        <w:t>腾讯是</w:t>
      </w:r>
      <w:proofErr w:type="gramEnd"/>
      <w:r>
        <w:rPr>
          <w:rFonts w:ascii="微软雅黑" w:eastAsia="微软雅黑" w:hAnsi="微软雅黑" w:cs="微软雅黑" w:hint="eastAsia"/>
          <w:szCs w:val="21"/>
        </w:rPr>
        <w:t>五家获利消费者支出最多的公司之一。收入增长是消费增长的基础，2018年，中国居民可支配收入增长8.7%，实际增长6.5%，与经济增长基本同步。不过，随着经济走低，交行首席经济学家连平预测2019年消费增长8.7%左右，对经济增长的贡献率或仍将超过75%。据美国电子商务市场研究公司估计，2019年中国的零售额将增长7.5%，达到5.636</w:t>
      </w:r>
      <w:proofErr w:type="gramStart"/>
      <w:r>
        <w:rPr>
          <w:rFonts w:ascii="微软雅黑" w:eastAsia="微软雅黑" w:hAnsi="微软雅黑" w:cs="微软雅黑" w:hint="eastAsia"/>
          <w:szCs w:val="21"/>
        </w:rPr>
        <w:t>万亿</w:t>
      </w:r>
      <w:proofErr w:type="gramEnd"/>
      <w:r>
        <w:rPr>
          <w:rFonts w:ascii="微软雅黑" w:eastAsia="微软雅黑" w:hAnsi="微软雅黑" w:cs="微软雅黑" w:hint="eastAsia"/>
          <w:szCs w:val="21"/>
        </w:rPr>
        <w:t>元，占全球网上销售额的55.8%，成为全球最大的网上销售市场。</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szCs w:val="21"/>
        </w:rPr>
        <w:t>从投资来看，2018年全年固定资产投资增长5.9%，比前3个季度加快0.5个百分点，且4季度逐月回升。对稳定当年的经济增长起到了明显效果。为此，</w:t>
      </w:r>
      <w:proofErr w:type="gramStart"/>
      <w:r>
        <w:rPr>
          <w:rFonts w:ascii="微软雅黑" w:eastAsia="微软雅黑" w:hAnsi="微软雅黑" w:cs="微软雅黑" w:hint="eastAsia"/>
          <w:szCs w:val="21"/>
        </w:rPr>
        <w:t>发改委</w:t>
      </w:r>
      <w:proofErr w:type="gramEnd"/>
      <w:r>
        <w:rPr>
          <w:rFonts w:ascii="微软雅黑" w:eastAsia="微软雅黑" w:hAnsi="微软雅黑" w:cs="微软雅黑" w:hint="eastAsia"/>
          <w:szCs w:val="21"/>
        </w:rPr>
        <w:t>全年共批核准投资项目189个，其中4季度批核准42项，包括“八纵八横”高</w:t>
      </w:r>
      <w:proofErr w:type="gramStart"/>
      <w:r>
        <w:rPr>
          <w:rFonts w:ascii="微软雅黑" w:eastAsia="微软雅黑" w:hAnsi="微软雅黑" w:cs="微软雅黑" w:hint="eastAsia"/>
          <w:szCs w:val="21"/>
        </w:rPr>
        <w:t>铁主通道厦渝</w:t>
      </w:r>
      <w:proofErr w:type="gramEnd"/>
      <w:r>
        <w:rPr>
          <w:rFonts w:ascii="微软雅黑" w:eastAsia="微软雅黑" w:hAnsi="微软雅黑" w:cs="微软雅黑" w:hint="eastAsia"/>
          <w:szCs w:val="21"/>
        </w:rPr>
        <w:t>通道的组成部分重庆至黔江、包头至银川铁路的银川至惠农段、上海经苏州至湖州段，以及青海-河南800千伏特高压直流输电工程等。从12月5日以来的1个月，</w:t>
      </w:r>
      <w:proofErr w:type="gramStart"/>
      <w:r>
        <w:rPr>
          <w:rFonts w:ascii="微软雅黑" w:eastAsia="微软雅黑" w:hAnsi="微软雅黑" w:cs="微软雅黑" w:hint="eastAsia"/>
          <w:szCs w:val="21"/>
        </w:rPr>
        <w:t>发改委</w:t>
      </w:r>
      <w:proofErr w:type="gramEnd"/>
      <w:r>
        <w:rPr>
          <w:rFonts w:ascii="微软雅黑" w:eastAsia="微软雅黑" w:hAnsi="微软雅黑" w:cs="微软雅黑" w:hint="eastAsia"/>
          <w:szCs w:val="21"/>
        </w:rPr>
        <w:t>共批复8个城市和地区城市轨道和铁路项目，包括重庆、济南、杭州、上海、长春的城市轨道交通，广西北部湾经济区、西安至延安、江苏省沿江城市群三个区域铁路建设。这将对拉动2019年的经济增长起到一定作用。</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szCs w:val="21"/>
        </w:rPr>
        <w:t>与此同时，由于近年来各地多在5月前后调整预算，导致地方政府债券发行使用速度偏慢，特别是鉴于经济下行的压力加大，再加上2019年制造业投资增长有可能呈现下行态势，报纸上普遍认为“基建将是2019年稳增长最值得期待的方式”，“基建投资将被当作稳投资、稳增长的着力点”。人大常委会正式授权国务院提前下达2019年地方政府新增债务限额1.39</w:t>
      </w:r>
      <w:proofErr w:type="gramStart"/>
      <w:r>
        <w:rPr>
          <w:rFonts w:ascii="微软雅黑" w:eastAsia="微软雅黑" w:hAnsi="微软雅黑" w:cs="微软雅黑" w:hint="eastAsia"/>
          <w:szCs w:val="21"/>
        </w:rPr>
        <w:t>万亿</w:t>
      </w:r>
      <w:proofErr w:type="gramEnd"/>
      <w:r>
        <w:rPr>
          <w:rFonts w:ascii="微软雅黑" w:eastAsia="微软雅黑" w:hAnsi="微软雅黑" w:cs="微软雅黑" w:hint="eastAsia"/>
          <w:szCs w:val="21"/>
        </w:rPr>
        <w:t>元。从1月22日起，河南、福建、天津、云南、四川、浙江等省市开始发行地方政府债券，1月发行总规模预计超过2400亿元。地方债供给放量为基建提供资金来源，使基建增速回升，有望支撑2019年的经济增长。1月2日，中国铁总工作会议指出，2019年铁路固定资产投资将保持强度规模，</w:t>
      </w:r>
      <w:proofErr w:type="gramStart"/>
      <w:r>
        <w:rPr>
          <w:rFonts w:ascii="微软雅黑" w:eastAsia="微软雅黑" w:hAnsi="微软雅黑" w:cs="微软雅黑" w:hint="eastAsia"/>
          <w:szCs w:val="21"/>
        </w:rPr>
        <w:t>确保投产</w:t>
      </w:r>
      <w:proofErr w:type="gramEnd"/>
      <w:r>
        <w:rPr>
          <w:rFonts w:ascii="微软雅黑" w:eastAsia="微软雅黑" w:hAnsi="微软雅黑" w:cs="微软雅黑" w:hint="eastAsia"/>
          <w:szCs w:val="21"/>
        </w:rPr>
        <w:t>新线6800公里，比2018年预计4000公里、完成4683公里增长七成。12月28日召开的2019年全国交通运输工作会议提出“大力推进京津冀暨雄安新区交通建设”，</w:t>
      </w:r>
      <w:proofErr w:type="gramStart"/>
      <w:r>
        <w:rPr>
          <w:rFonts w:ascii="微软雅黑" w:eastAsia="微软雅黑" w:hAnsi="微软雅黑" w:cs="微软雅黑" w:hint="eastAsia"/>
          <w:szCs w:val="21"/>
        </w:rPr>
        <w:t>雄安新区</w:t>
      </w:r>
      <w:proofErr w:type="gramEnd"/>
      <w:r>
        <w:rPr>
          <w:rFonts w:ascii="微软雅黑" w:eastAsia="微软雅黑" w:hAnsi="微软雅黑" w:cs="微软雅黑" w:hint="eastAsia"/>
          <w:szCs w:val="21"/>
        </w:rPr>
        <w:t>周边</w:t>
      </w:r>
      <w:proofErr w:type="gramStart"/>
      <w:r>
        <w:rPr>
          <w:rFonts w:ascii="微软雅黑" w:eastAsia="微软雅黑" w:hAnsi="微软雅黑" w:cs="微软雅黑" w:hint="eastAsia"/>
          <w:szCs w:val="21"/>
        </w:rPr>
        <w:t>的京雄城际</w:t>
      </w:r>
      <w:proofErr w:type="gramEnd"/>
      <w:r>
        <w:rPr>
          <w:rFonts w:ascii="微软雅黑" w:eastAsia="微软雅黑" w:hAnsi="微软雅黑" w:cs="微软雅黑" w:hint="eastAsia"/>
          <w:szCs w:val="21"/>
        </w:rPr>
        <w:t>铁路、京石高速等项目建设将加快推进，京港（台）高</w:t>
      </w:r>
      <w:proofErr w:type="gramStart"/>
      <w:r>
        <w:rPr>
          <w:rFonts w:ascii="微软雅黑" w:eastAsia="微软雅黑" w:hAnsi="微软雅黑" w:cs="微软雅黑" w:hint="eastAsia"/>
          <w:szCs w:val="21"/>
        </w:rPr>
        <w:t>铁京雄段</w:t>
      </w:r>
      <w:proofErr w:type="gramEnd"/>
      <w:r>
        <w:rPr>
          <w:rFonts w:ascii="微软雅黑" w:eastAsia="微软雅黑" w:hAnsi="微软雅黑" w:cs="微软雅黑" w:hint="eastAsia"/>
          <w:szCs w:val="21"/>
        </w:rPr>
        <w:t>和</w:t>
      </w:r>
      <w:proofErr w:type="gramStart"/>
      <w:r>
        <w:rPr>
          <w:rFonts w:ascii="微软雅黑" w:eastAsia="微软雅黑" w:hAnsi="微软雅黑" w:cs="微软雅黑" w:hint="eastAsia"/>
          <w:szCs w:val="21"/>
        </w:rPr>
        <w:t>雄商</w:t>
      </w:r>
      <w:proofErr w:type="gramEnd"/>
      <w:r>
        <w:rPr>
          <w:rFonts w:ascii="微软雅黑" w:eastAsia="微软雅黑" w:hAnsi="微软雅黑" w:cs="微软雅黑" w:hint="eastAsia"/>
          <w:szCs w:val="21"/>
        </w:rPr>
        <w:t>段、荣乌高速新线、</w:t>
      </w:r>
      <w:proofErr w:type="gramStart"/>
      <w:r>
        <w:rPr>
          <w:rFonts w:ascii="微软雅黑" w:eastAsia="微软雅黑" w:hAnsi="微软雅黑" w:cs="微软雅黑" w:hint="eastAsia"/>
          <w:szCs w:val="21"/>
        </w:rPr>
        <w:t>京雄高速公路</w:t>
      </w:r>
      <w:proofErr w:type="gramEnd"/>
      <w:r>
        <w:rPr>
          <w:rFonts w:ascii="微软雅黑" w:eastAsia="微软雅黑" w:hAnsi="微软雅黑" w:cs="微软雅黑" w:hint="eastAsia"/>
          <w:szCs w:val="21"/>
        </w:rPr>
        <w:t>将加快前期工作。其中，</w:t>
      </w:r>
      <w:proofErr w:type="gramStart"/>
      <w:r>
        <w:rPr>
          <w:rFonts w:ascii="微软雅黑" w:eastAsia="微软雅黑" w:hAnsi="微软雅黑" w:cs="微软雅黑" w:hint="eastAsia"/>
          <w:szCs w:val="21"/>
        </w:rPr>
        <w:t>京雄城铁投资</w:t>
      </w:r>
      <w:proofErr w:type="gramEnd"/>
      <w:r>
        <w:rPr>
          <w:rFonts w:ascii="微软雅黑" w:eastAsia="微软雅黑" w:hAnsi="微软雅黑" w:cs="微软雅黑" w:hint="eastAsia"/>
          <w:szCs w:val="21"/>
        </w:rPr>
        <w:t>335.3亿元。据有关部门测算，今年</w:t>
      </w:r>
      <w:proofErr w:type="gramStart"/>
      <w:r>
        <w:rPr>
          <w:rFonts w:ascii="微软雅黑" w:eastAsia="微软雅黑" w:hAnsi="微软雅黑" w:cs="微软雅黑" w:hint="eastAsia"/>
          <w:szCs w:val="21"/>
        </w:rPr>
        <w:t>整个雄安新区</w:t>
      </w:r>
      <w:proofErr w:type="gramEnd"/>
      <w:r>
        <w:rPr>
          <w:rFonts w:ascii="微软雅黑" w:eastAsia="微软雅黑" w:hAnsi="微软雅黑" w:cs="微软雅黑" w:hint="eastAsia"/>
          <w:szCs w:val="21"/>
        </w:rPr>
        <w:t>的投资可望突破千亿元，未来投资总量或达到万亿元级别。</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szCs w:val="21"/>
        </w:rPr>
        <w:t>大规模的政府基建投资和基础设施建设对于2019年投资和增长的稳定作用无可怀疑，但有两个负面作用无人提及。一是政府发债实施财政扩张的挤出效应明显，一方面通过发行债券把民间的资金集中到政府手里，另一方面鼓励民间投资，减少的民间资金从何而来？如果说减税增加了民间的资金，那么，发债又把资金拿走了。我们这里只是指出问题所在，至于挤出效应究竟有多大，这是需要具体计算才能说明的。二是基建投资的效率问题，</w:t>
      </w:r>
      <w:proofErr w:type="gramStart"/>
      <w:r>
        <w:rPr>
          <w:rFonts w:ascii="微软雅黑" w:eastAsia="微软雅黑" w:hAnsi="微软雅黑" w:cs="微软雅黑" w:hint="eastAsia"/>
          <w:szCs w:val="21"/>
        </w:rPr>
        <w:t>发改委</w:t>
      </w:r>
      <w:proofErr w:type="gramEnd"/>
      <w:r>
        <w:rPr>
          <w:rFonts w:ascii="微软雅黑" w:eastAsia="微软雅黑" w:hAnsi="微软雅黑" w:cs="微软雅黑" w:hint="eastAsia"/>
          <w:szCs w:val="21"/>
        </w:rPr>
        <w:t>一再表示，“不搞大水漫灌”，“要精准补短板”，这很好。的确还有一些短板需要补。但总体来看，基础设施已经超前，如果说以前的投资效率不错，</w:t>
      </w:r>
      <w:r>
        <w:rPr>
          <w:rFonts w:ascii="微软雅黑" w:eastAsia="微软雅黑" w:hAnsi="微软雅黑" w:cs="微软雅黑" w:hint="eastAsia"/>
          <w:szCs w:val="21"/>
        </w:rPr>
        <w:lastRenderedPageBreak/>
        <w:t>那么，随着情况的变化，投资效率逐渐下降。据说，有的高铁站建成多年尚未使用，有些高铁、高速人流、车流不多，在那里晒太阳。我们不知道这些投资何时能够收回？何时能够盈利？事实上，</w:t>
      </w:r>
      <w:proofErr w:type="gramStart"/>
      <w:r>
        <w:rPr>
          <w:rFonts w:ascii="微软雅黑" w:eastAsia="微软雅黑" w:hAnsi="微软雅黑" w:cs="微软雅黑" w:hint="eastAsia"/>
          <w:szCs w:val="21"/>
        </w:rPr>
        <w:t>发改委</w:t>
      </w:r>
      <w:proofErr w:type="gramEnd"/>
      <w:r>
        <w:rPr>
          <w:rFonts w:ascii="微软雅黑" w:eastAsia="微软雅黑" w:hAnsi="微软雅黑" w:cs="微软雅黑" w:hint="eastAsia"/>
          <w:szCs w:val="21"/>
        </w:rPr>
        <w:t>管得了投资，却管不了盈利，管不了效率。虽然大家都知道不要追求增长速度，但它仍然是背后的指挥棒，推着政府不得不这样做。这不仅不能推动我们的经济发展向着提质增效的方向发展，而且不利于经济增长方式和经济发展动能的转换。</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szCs w:val="21"/>
        </w:rPr>
        <w:t>2018年，进出口贸易的增长出人预料，全年超过30</w:t>
      </w:r>
      <w:proofErr w:type="gramStart"/>
      <w:r>
        <w:rPr>
          <w:rFonts w:ascii="微软雅黑" w:eastAsia="微软雅黑" w:hAnsi="微软雅黑" w:cs="微软雅黑" w:hint="eastAsia"/>
          <w:szCs w:val="21"/>
        </w:rPr>
        <w:t>万亿</w:t>
      </w:r>
      <w:proofErr w:type="gramEnd"/>
      <w:r>
        <w:rPr>
          <w:rFonts w:ascii="微软雅黑" w:eastAsia="微软雅黑" w:hAnsi="微软雅黑" w:cs="微软雅黑" w:hint="eastAsia"/>
          <w:szCs w:val="21"/>
        </w:rPr>
        <w:t>元。按美元计，出口增长9.9%（按人民币增长7.1%），进口增长15.8%（按人民币增长12.9%），贸易顺差3517.6亿美元（按人民币为2.33</w:t>
      </w:r>
      <w:proofErr w:type="gramStart"/>
      <w:r>
        <w:rPr>
          <w:rFonts w:ascii="微软雅黑" w:eastAsia="微软雅黑" w:hAnsi="微软雅黑" w:cs="微软雅黑" w:hint="eastAsia"/>
          <w:szCs w:val="21"/>
        </w:rPr>
        <w:t>万亿</w:t>
      </w:r>
      <w:proofErr w:type="gramEnd"/>
      <w:r>
        <w:rPr>
          <w:rFonts w:ascii="微软雅黑" w:eastAsia="微软雅黑" w:hAnsi="微软雅黑" w:cs="微软雅黑" w:hint="eastAsia"/>
          <w:szCs w:val="21"/>
        </w:rPr>
        <w:t>元 ）。特别是对美贸易，出口4784亿美元，进口1551亿美元，顺差3233亿美元，相当于全部贸易顺差的91.9%，为2006年以来最高。似乎中美贸易战不仅没有影响中国的对外贸易，反而促进了中国的贸易。这似乎也无人相信。当然，这样的数据不值得庆幸和乐观，事实上，12月的情况已经转向，按美元计，出口下降4.4%，进口下降7.6%，分别创2016年12月和7月以来的最大降幅。这证明全球经济和中国经济趋缓已很明显，抢出口的因素已经消失。我们在第3季度的报告中就根据一些出口商的反应，指出了抢出口的问题，事实上，据有关人士透露，美国西海岸加州一带的仓库已经堆满了来自中国的货物，准备交付2019年的订单。这样一来，2019年第1季度的外贸形势不容乐观，也许是全年最糟糕的一个季度。不仅如此，进口下降虽有大宗商品价格回落的因素，也进一步表明国内需求疲软，经济下行压力增大。特别是在中美贸易战正酣之时，美国对华贸易逆差不减反增，不知是福是祸，的确令人哭笑不得。</w:t>
      </w:r>
    </w:p>
    <w:p w:rsidR="009519D8" w:rsidRDefault="009519D8" w:rsidP="009519D8">
      <w:pPr>
        <w:pStyle w:val="af"/>
        <w:spacing w:line="460" w:lineRule="exact"/>
        <w:rPr>
          <w:rFonts w:ascii="微软雅黑" w:eastAsia="微软雅黑" w:hAnsi="微软雅黑" w:cs="微软雅黑"/>
          <w:b/>
          <w:bCs/>
          <w:szCs w:val="21"/>
        </w:rPr>
      </w:pPr>
      <w:r>
        <w:rPr>
          <w:rFonts w:ascii="微软雅黑" w:eastAsia="微软雅黑" w:hAnsi="微软雅黑" w:cs="微软雅黑" w:hint="eastAsia"/>
          <w:b/>
          <w:bCs/>
          <w:szCs w:val="21"/>
        </w:rPr>
        <w:t>3. 就业形势相当严峻</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szCs w:val="21"/>
        </w:rPr>
        <w:t>从国家统计局公布的数据来看，2018年的就业形势很好。全年城镇新增就业人数1361万人，连续6年保持在1300万人以上，城镇调查失业率全年保持在5%左右，实现了低于5.5%的预期目标。实际上，就业形势相当严峻。</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szCs w:val="21"/>
        </w:rPr>
        <w:t>早在2018年11月2日，李克强主持国务院常务会议，研究</w:t>
      </w:r>
      <w:proofErr w:type="gramStart"/>
      <w:r>
        <w:rPr>
          <w:rFonts w:ascii="微软雅黑" w:eastAsia="微软雅黑" w:hAnsi="微软雅黑" w:cs="微软雅黑" w:hint="eastAsia"/>
          <w:szCs w:val="21"/>
        </w:rPr>
        <w:t>布署</w:t>
      </w:r>
      <w:proofErr w:type="gramEnd"/>
      <w:r>
        <w:rPr>
          <w:rFonts w:ascii="微软雅黑" w:eastAsia="微软雅黑" w:hAnsi="微软雅黑" w:cs="微软雅黑" w:hint="eastAsia"/>
          <w:szCs w:val="21"/>
        </w:rPr>
        <w:t>促进就业问题。12月5日，国务院印发《关于做好当前和今后一个时期促进就业工作的若干意见》，明确指出，当前国内外形势错综复杂，就业压力仍然较大，要把稳就业放在更加突出的地位，坚持就业优先战略和更加积极的就业政策，支持企业稳定岗位，促进就业创业，强化培训服务，确保当前和今后一个时期就业目标任务完成和就业形势持续稳定。重点举措包括，对不裁员或少的参保企业，可返还上年度实际缴纳失业保险费的50%，对</w:t>
      </w:r>
      <w:proofErr w:type="gramStart"/>
      <w:r>
        <w:rPr>
          <w:rFonts w:ascii="微软雅黑" w:eastAsia="微软雅黑" w:hAnsi="微软雅黑" w:cs="微软雅黑" w:hint="eastAsia"/>
          <w:szCs w:val="21"/>
        </w:rPr>
        <w:t>其中面临</w:t>
      </w:r>
      <w:proofErr w:type="gramEnd"/>
      <w:r>
        <w:rPr>
          <w:rFonts w:ascii="微软雅黑" w:eastAsia="微软雅黑" w:hAnsi="微软雅黑" w:cs="微软雅黑" w:hint="eastAsia"/>
          <w:szCs w:val="21"/>
        </w:rPr>
        <w:t>暂时性生产经营困难且恢复有望的，加大返还力度。加大创业担保贷款支持力度，符合条件的个人和小</w:t>
      </w:r>
      <w:proofErr w:type="gramStart"/>
      <w:r>
        <w:rPr>
          <w:rFonts w:ascii="微软雅黑" w:eastAsia="微软雅黑" w:hAnsi="微软雅黑" w:cs="微软雅黑" w:hint="eastAsia"/>
          <w:szCs w:val="21"/>
        </w:rPr>
        <w:t>微企业</w:t>
      </w:r>
      <w:proofErr w:type="gramEnd"/>
      <w:r>
        <w:rPr>
          <w:rFonts w:ascii="微软雅黑" w:eastAsia="微软雅黑" w:hAnsi="微软雅黑" w:cs="微软雅黑" w:hint="eastAsia"/>
          <w:szCs w:val="21"/>
        </w:rPr>
        <w:t>可分别申请最高不超过15万元和300万元的创业担保贷款。实施三年百万青年见习计划，将就业见习补贴范围扩展至16-24岁失业青年。对下岗失业人员普遍开展有政府补贴的培训。及时开展下岗失业人员帮扶，对符合条件的及时落实失业保险待遇，并纳入最低生活保障和救助范围。为了减轻企业负担，促进扩大就业，会议决定，对用人单位和职工失业保险缴费比例总</w:t>
      </w:r>
      <w:r>
        <w:rPr>
          <w:rFonts w:ascii="微软雅黑" w:eastAsia="微软雅黑" w:hAnsi="微软雅黑" w:cs="微软雅黑" w:hint="eastAsia"/>
          <w:szCs w:val="21"/>
        </w:rPr>
        <w:lastRenderedPageBreak/>
        <w:t>和从3%阶段性降至1%的现行政策，明年4月到期后继续实施。应当肯定，这些政策是正确的和及时的，也是可操作的。广东省和深圳市还制定了稳定就业的详细补贴计划。</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szCs w:val="21"/>
        </w:rPr>
        <w:t>失业率与经济增长率、通货膨胀率和国际收支一起构成宏观经济的四大指标，就业问题是宏观经济分析中的一个重要问题。然而，我们一向很少讨论，因为没有数据支持，现在的讨论只是根据对实际情况的观察，也无具体数据。问题在于为什么统计局发布的数据和政策如此背离，看来，我们的就业和失业统计存在严重问题。我们只发布每年新增就业数据，并未减去每年失业的人数，所以就业人数是增加了还是减少了，无法知道。按照2018《中国统计年鉴》的解释，“城镇登记失业人员指非农业户口，在一定的劳动年龄内（16周岁至退休年龄）有劳动能力，无业而要求就业，并在当地劳动保障部门进行失业登记的人员”。“城镇登记失业率 城镇登记失业人员与城镇单位就业人员（扣除使用的农村劳动力、聘用的离退休人员、港澳台及外方人员）城镇单位中的</w:t>
      </w:r>
      <w:proofErr w:type="gramStart"/>
      <w:r>
        <w:rPr>
          <w:rFonts w:ascii="微软雅黑" w:eastAsia="微软雅黑" w:hAnsi="微软雅黑" w:cs="微软雅黑" w:hint="eastAsia"/>
          <w:szCs w:val="21"/>
        </w:rPr>
        <w:t>不</w:t>
      </w:r>
      <w:proofErr w:type="gramEnd"/>
      <w:r>
        <w:rPr>
          <w:rFonts w:ascii="微软雅黑" w:eastAsia="微软雅黑" w:hAnsi="微软雅黑" w:cs="微软雅黑" w:hint="eastAsia"/>
          <w:szCs w:val="21"/>
        </w:rPr>
        <w:t>在岗职工、城镇私营业主、个体户主、城镇私营企业和个体就业人员、城镇登记失业人员之和的比”。很明显，它的统计范围是非农业户口，显然不包括进城务工的2.88亿农民工和城郊非农业户口。计算的分母是城镇单位就业人员加上其他就业人员和登记失业人员，而不是城镇中劳动年龄人口。这样的统计除了说明我们现行政策的城市偏好以外，对研究失业问题没有多大意义。</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szCs w:val="21"/>
        </w:rPr>
        <w:t>根据我们的观察，当前就业问题其所以严峻，主要是由于以下原因和情况。</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szCs w:val="21"/>
        </w:rPr>
        <w:t>一是2018年的环境风暴使不少中小企业关门倒闭，一批工人失业。</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szCs w:val="21"/>
        </w:rPr>
        <w:t>二是中美贸易战使中国内外环境恶化，再加上营商成本加大，一部分外商投资企业外迁到越南等东南亚地区，也使一大批工人下岗失业。</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szCs w:val="21"/>
        </w:rPr>
        <w:t>三是国内实际制度对民营企业的歧视，使一些民营企业无法经营，不是关门歇业，就是外迁他国，也造成一批工人失业。</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szCs w:val="21"/>
        </w:rPr>
        <w:t>四是我们的政府官员多如牛毛检查、达标等，也使一部分企业无法经营。</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szCs w:val="21"/>
        </w:rPr>
        <w:t>总之，破产关门、迁出企业的下岗工人不在少数，我们没有任何调查统计。这才是失业问题的关键。所以要解决</w:t>
      </w:r>
      <w:proofErr w:type="gramStart"/>
      <w:r>
        <w:rPr>
          <w:rFonts w:ascii="微软雅黑" w:eastAsia="微软雅黑" w:hAnsi="微软雅黑" w:cs="微软雅黑" w:hint="eastAsia"/>
          <w:szCs w:val="21"/>
        </w:rPr>
        <w:t>稳就业</w:t>
      </w:r>
      <w:proofErr w:type="gramEnd"/>
      <w:r>
        <w:rPr>
          <w:rFonts w:ascii="微软雅黑" w:eastAsia="微软雅黑" w:hAnsi="微软雅黑" w:cs="微软雅黑" w:hint="eastAsia"/>
          <w:szCs w:val="21"/>
        </w:rPr>
        <w:t>的问题，需将此摆在我们政策关注的中心。</w:t>
      </w:r>
    </w:p>
    <w:p w:rsidR="009519D8" w:rsidRDefault="009519D8" w:rsidP="009519D8">
      <w:pPr>
        <w:pStyle w:val="af"/>
        <w:spacing w:line="460" w:lineRule="exact"/>
        <w:rPr>
          <w:rFonts w:ascii="微软雅黑" w:eastAsia="微软雅黑" w:hAnsi="微软雅黑" w:cs="微软雅黑"/>
          <w:b/>
          <w:bCs/>
          <w:szCs w:val="21"/>
        </w:rPr>
      </w:pPr>
      <w:r>
        <w:rPr>
          <w:rFonts w:ascii="微软雅黑" w:eastAsia="微软雅黑" w:hAnsi="微软雅黑" w:cs="微软雅黑" w:hint="eastAsia"/>
          <w:b/>
          <w:bCs/>
          <w:szCs w:val="21"/>
        </w:rPr>
        <w:t>4. 关于减税政策及其效果</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szCs w:val="21"/>
        </w:rPr>
        <w:t>减税是近几年宏观政策中高频出现的词汇，也是政府稳定经济最重要、最有效的办法，特别是在内外环境不稳定和经济下行的情况下。12月27-28日的全国财政工作会议传出积极信号，2019年将实施更大规模的减税降费政策。财政部长刘昆说，2019年，我国将实行普惠性减税和结构性减税相结合，重点减轻制造业和小</w:t>
      </w:r>
      <w:proofErr w:type="gramStart"/>
      <w:r>
        <w:rPr>
          <w:rFonts w:ascii="微软雅黑" w:eastAsia="微软雅黑" w:hAnsi="微软雅黑" w:cs="微软雅黑" w:hint="eastAsia"/>
          <w:szCs w:val="21"/>
        </w:rPr>
        <w:t>微企业</w:t>
      </w:r>
      <w:proofErr w:type="gramEnd"/>
      <w:r>
        <w:rPr>
          <w:rFonts w:ascii="微软雅黑" w:eastAsia="微软雅黑" w:hAnsi="微软雅黑" w:cs="微软雅黑" w:hint="eastAsia"/>
          <w:szCs w:val="21"/>
        </w:rPr>
        <w:t>税收负担，支持实体经济发展。对小</w:t>
      </w:r>
      <w:proofErr w:type="gramStart"/>
      <w:r>
        <w:rPr>
          <w:rFonts w:ascii="微软雅黑" w:eastAsia="微软雅黑" w:hAnsi="微软雅黑" w:cs="微软雅黑" w:hint="eastAsia"/>
          <w:szCs w:val="21"/>
        </w:rPr>
        <w:t>微企业</w:t>
      </w:r>
      <w:proofErr w:type="gramEnd"/>
      <w:r>
        <w:rPr>
          <w:rFonts w:ascii="微软雅黑" w:eastAsia="微软雅黑" w:hAnsi="微软雅黑" w:cs="微软雅黑" w:hint="eastAsia"/>
          <w:szCs w:val="21"/>
        </w:rPr>
        <w:t>和科技型初创企业实行普惠性税收减免，全面实施修改后的个人所得税法，落实好6项专项附加扣除政策，减轻居民税负。还要推进更为明显的降费，清理规范地方收费项目，加大对乱收费查处和整治力度，加强收费清单“一张网”建设，健全乱收费投诉举报查处机制。1月9日，国务院常务会议决定再推出一批针对小</w:t>
      </w:r>
      <w:proofErr w:type="gramStart"/>
      <w:r>
        <w:rPr>
          <w:rFonts w:ascii="微软雅黑" w:eastAsia="微软雅黑" w:hAnsi="微软雅黑" w:cs="微软雅黑" w:hint="eastAsia"/>
          <w:szCs w:val="21"/>
        </w:rPr>
        <w:t>微企</w:t>
      </w:r>
      <w:r>
        <w:rPr>
          <w:rFonts w:ascii="微软雅黑" w:eastAsia="微软雅黑" w:hAnsi="微软雅黑" w:cs="微软雅黑" w:hint="eastAsia"/>
          <w:szCs w:val="21"/>
        </w:rPr>
        <w:lastRenderedPageBreak/>
        <w:t>业</w:t>
      </w:r>
      <w:proofErr w:type="gramEnd"/>
      <w:r>
        <w:rPr>
          <w:rFonts w:ascii="微软雅黑" w:eastAsia="微软雅黑" w:hAnsi="微软雅黑" w:cs="微软雅黑" w:hint="eastAsia"/>
          <w:szCs w:val="21"/>
        </w:rPr>
        <w:t>的普惠性减税措施，预计每年可再为小</w:t>
      </w:r>
      <w:proofErr w:type="gramStart"/>
      <w:r>
        <w:rPr>
          <w:rFonts w:ascii="微软雅黑" w:eastAsia="微软雅黑" w:hAnsi="微软雅黑" w:cs="微软雅黑" w:hint="eastAsia"/>
          <w:szCs w:val="21"/>
        </w:rPr>
        <w:t>微企业</w:t>
      </w:r>
      <w:proofErr w:type="gramEnd"/>
      <w:r>
        <w:rPr>
          <w:rFonts w:ascii="微软雅黑" w:eastAsia="微软雅黑" w:hAnsi="微软雅黑" w:cs="微软雅黑" w:hint="eastAsia"/>
          <w:szCs w:val="21"/>
        </w:rPr>
        <w:t>减负约2000亿元。紧接着，财政部和税务总局发布《关于实施小微企业普惠性税收减免的通知》和有关征管问题的公告。规定对月销售额10万元以下（含本数）的增值税小规模纳税人免征增值税，对小型微利企业年应纳税所得额不超过100万元的部分，减按25%计入应纳税所得额，按20%的税率缴纳企业所得税；对年应纳税所得额超过100万元但不超过300万元的部分，减按50%计入应纳税所得额，按20%的税率缴纳企业所得税。开始了新一年减税降</w:t>
      </w:r>
      <w:proofErr w:type="gramStart"/>
      <w:r>
        <w:rPr>
          <w:rFonts w:ascii="微软雅黑" w:eastAsia="微软雅黑" w:hAnsi="微软雅黑" w:cs="微软雅黑" w:hint="eastAsia"/>
          <w:szCs w:val="21"/>
        </w:rPr>
        <w:t>费政策</w:t>
      </w:r>
      <w:proofErr w:type="gramEnd"/>
      <w:r>
        <w:rPr>
          <w:rFonts w:ascii="微软雅黑" w:eastAsia="微软雅黑" w:hAnsi="微软雅黑" w:cs="微软雅黑" w:hint="eastAsia"/>
          <w:szCs w:val="21"/>
        </w:rPr>
        <w:t>的实施。</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szCs w:val="21"/>
        </w:rPr>
        <w:t>2017年，政府实行营改增，据说减税6000亿元，但不少企业反应税负不减反增。2018年政府推出了更大的减税措施，全年预计减税降费超过1.3</w:t>
      </w:r>
      <w:proofErr w:type="gramStart"/>
      <w:r>
        <w:rPr>
          <w:rFonts w:ascii="微软雅黑" w:eastAsia="微软雅黑" w:hAnsi="微软雅黑" w:cs="微软雅黑" w:hint="eastAsia"/>
          <w:szCs w:val="21"/>
        </w:rPr>
        <w:t>万亿</w:t>
      </w:r>
      <w:proofErr w:type="gramEnd"/>
      <w:r>
        <w:rPr>
          <w:rFonts w:ascii="微软雅黑" w:eastAsia="微软雅黑" w:hAnsi="微软雅黑" w:cs="微软雅黑" w:hint="eastAsia"/>
          <w:szCs w:val="21"/>
        </w:rPr>
        <w:t>元。但是，正如财政科学研究</w:t>
      </w:r>
      <w:proofErr w:type="gramStart"/>
      <w:r>
        <w:rPr>
          <w:rFonts w:ascii="微软雅黑" w:eastAsia="微软雅黑" w:hAnsi="微软雅黑" w:cs="微软雅黑" w:hint="eastAsia"/>
          <w:szCs w:val="21"/>
        </w:rPr>
        <w:t>院财政</w:t>
      </w:r>
      <w:proofErr w:type="gramEnd"/>
      <w:r>
        <w:rPr>
          <w:rFonts w:ascii="微软雅黑" w:eastAsia="微软雅黑" w:hAnsi="微软雅黑" w:cs="微软雅黑" w:hint="eastAsia"/>
          <w:szCs w:val="21"/>
        </w:rPr>
        <w:t>与国家治理研究中心副主任陈龙回答《证券日报》记者所说，“企业并没有感到明显的减税感”。他分析了四个原因，一是受征管强化、传导机制不畅等原因，削弱了减税的效果；二是企业经营困难加大，利润下降，降低了企业的获得感；三是减税效应的迟滞性；四是零敲碎打式的减税方式，一方面减税力度不够，另一方面不利于引导市场预期，甚至导致“出力不讨好”的状况。我们认为，这种分析有一定道理。不过，还有一些更根本的原因，比如，政府和纳税人的平等交易关系并未建立，税收征管人员的强势地位，使得小</w:t>
      </w:r>
      <w:proofErr w:type="gramStart"/>
      <w:r>
        <w:rPr>
          <w:rFonts w:ascii="微软雅黑" w:eastAsia="微软雅黑" w:hAnsi="微软雅黑" w:cs="微软雅黑" w:hint="eastAsia"/>
          <w:szCs w:val="21"/>
        </w:rPr>
        <w:t>微企业</w:t>
      </w:r>
      <w:proofErr w:type="gramEnd"/>
      <w:r>
        <w:rPr>
          <w:rFonts w:ascii="微软雅黑" w:eastAsia="微软雅黑" w:hAnsi="微软雅黑" w:cs="微软雅黑" w:hint="eastAsia"/>
          <w:szCs w:val="21"/>
        </w:rPr>
        <w:t>和民营企业只能听其摆布，即使强征多征，哪个企业敢于告发？再如，预征预缴，多征不退，据</w:t>
      </w:r>
      <w:proofErr w:type="gramStart"/>
      <w:r>
        <w:rPr>
          <w:rFonts w:ascii="微软雅黑" w:eastAsia="微软雅黑" w:hAnsi="微软雅黑" w:cs="微软雅黑" w:hint="eastAsia"/>
          <w:szCs w:val="21"/>
        </w:rPr>
        <w:t>许善达估计</w:t>
      </w:r>
      <w:proofErr w:type="gramEnd"/>
      <w:r>
        <w:rPr>
          <w:rFonts w:ascii="微软雅黑" w:eastAsia="微软雅黑" w:hAnsi="微软雅黑" w:cs="微软雅黑" w:hint="eastAsia"/>
          <w:szCs w:val="21"/>
        </w:rPr>
        <w:t>多达上万亿元，实际上是政府对企业的负债，再加征税任务和指标，重复征税，征过头税现象时有发生。还如，零敲碎打、规定繁琐，征税人和纳税人都搞不清楚，实际执行相当困难等。所以，不仅要出台减税降费措施，而且要重视减税降费效果。不然，好政策也会失去人心。</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szCs w:val="21"/>
        </w:rPr>
        <w:t>还有，这次对小</w:t>
      </w:r>
      <w:proofErr w:type="gramStart"/>
      <w:r>
        <w:rPr>
          <w:rFonts w:ascii="微软雅黑" w:eastAsia="微软雅黑" w:hAnsi="微软雅黑" w:cs="微软雅黑" w:hint="eastAsia"/>
          <w:szCs w:val="21"/>
        </w:rPr>
        <w:t>微企业</w:t>
      </w:r>
      <w:proofErr w:type="gramEnd"/>
      <w:r>
        <w:rPr>
          <w:rFonts w:ascii="微软雅黑" w:eastAsia="微软雅黑" w:hAnsi="微软雅黑" w:cs="微软雅黑" w:hint="eastAsia"/>
          <w:szCs w:val="21"/>
        </w:rPr>
        <w:t>实施普惠性减免税是一个进步，但只是对小微企业，不能算是真正的普惠。其实，笔者不大赞成结构性减税，它违背税收公平的原则，也难以检查其实施效果，而且还把减税变成了政府对纳税人的恩惠，扭曲了政府与纳税人的关系。几年减税效果不彰就是证明。与其一年国务院十次八次研究出台有关减税降费政策，</w:t>
      </w:r>
      <w:proofErr w:type="gramStart"/>
      <w:r>
        <w:rPr>
          <w:rFonts w:ascii="微软雅黑" w:eastAsia="微软雅黑" w:hAnsi="微软雅黑" w:cs="微软雅黑" w:hint="eastAsia"/>
          <w:szCs w:val="21"/>
        </w:rPr>
        <w:t>不</w:t>
      </w:r>
      <w:proofErr w:type="gramEnd"/>
      <w:r>
        <w:rPr>
          <w:rFonts w:ascii="微软雅黑" w:eastAsia="微软雅黑" w:hAnsi="微软雅黑" w:cs="微软雅黑" w:hint="eastAsia"/>
          <w:szCs w:val="21"/>
        </w:rPr>
        <w:t>如下决心从根本上解决问题。精简</w:t>
      </w:r>
      <w:proofErr w:type="gramStart"/>
      <w:r>
        <w:rPr>
          <w:rFonts w:ascii="微软雅黑" w:eastAsia="微软雅黑" w:hAnsi="微软雅黑" w:cs="微软雅黑" w:hint="eastAsia"/>
          <w:szCs w:val="21"/>
        </w:rPr>
        <w:t>合并种税税目</w:t>
      </w:r>
      <w:proofErr w:type="gramEnd"/>
      <w:r>
        <w:rPr>
          <w:rFonts w:ascii="微软雅黑" w:eastAsia="微软雅黑" w:hAnsi="微软雅黑" w:cs="微软雅黑" w:hint="eastAsia"/>
          <w:szCs w:val="21"/>
        </w:rPr>
        <w:t>，抓住主要税费实行减税降费，比如，增值税能否从现在的三档减为两档，税率各调降2-3个百分点；企业所得税也可以大幅降低；社保经交费</w:t>
      </w:r>
      <w:proofErr w:type="gramStart"/>
      <w:r>
        <w:rPr>
          <w:rFonts w:ascii="微软雅黑" w:eastAsia="微软雅黑" w:hAnsi="微软雅黑" w:cs="微软雅黑" w:hint="eastAsia"/>
          <w:szCs w:val="21"/>
        </w:rPr>
        <w:t>率能否</w:t>
      </w:r>
      <w:proofErr w:type="gramEnd"/>
      <w:r>
        <w:rPr>
          <w:rFonts w:ascii="微软雅黑" w:eastAsia="微软雅黑" w:hAnsi="微软雅黑" w:cs="微软雅黑" w:hint="eastAsia"/>
          <w:szCs w:val="21"/>
        </w:rPr>
        <w:t>不超过10%。当然，要做到这一点，精兵减政是前提。现在，这么庞大的行政机构，这么多的行政人员，现行机构不用，成立那么多领导小组，每个小组都要搞一个办公室，机构和人员不减反增，甚至还要增加一个收费的名目，怎么能减税降费呢？</w:t>
      </w:r>
    </w:p>
    <w:p w:rsidR="009519D8" w:rsidRDefault="009519D8" w:rsidP="009519D8">
      <w:pPr>
        <w:pStyle w:val="af"/>
        <w:spacing w:line="460" w:lineRule="exact"/>
        <w:ind w:left="720"/>
        <w:rPr>
          <w:rFonts w:ascii="微软雅黑" w:eastAsia="微软雅黑" w:hAnsi="微软雅黑" w:cs="微软雅黑"/>
          <w:szCs w:val="21"/>
        </w:rPr>
      </w:pPr>
    </w:p>
    <w:p w:rsidR="009519D8" w:rsidRDefault="009519D8" w:rsidP="009519D8">
      <w:pPr>
        <w:pStyle w:val="af"/>
        <w:spacing w:line="460" w:lineRule="exact"/>
        <w:jc w:val="left"/>
        <w:rPr>
          <w:rFonts w:ascii="微软雅黑" w:eastAsia="微软雅黑" w:hAnsi="微软雅黑" w:cs="微软雅黑"/>
          <w:b/>
          <w:szCs w:val="21"/>
        </w:rPr>
      </w:pPr>
      <w:r>
        <w:rPr>
          <w:rFonts w:ascii="微软雅黑" w:eastAsia="微软雅黑" w:hAnsi="微软雅黑" w:cs="微软雅黑" w:hint="eastAsia"/>
          <w:b/>
          <w:szCs w:val="21"/>
        </w:rPr>
        <w:t>四，体制分析</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szCs w:val="21"/>
        </w:rPr>
        <w:t>2018年是中国改革开放40周年，国内外召开了不少纪念会和讨论会，总结改革开放的经验教训，确</w:t>
      </w:r>
      <w:proofErr w:type="gramStart"/>
      <w:r>
        <w:rPr>
          <w:rFonts w:ascii="微软雅黑" w:eastAsia="微软雅黑" w:hAnsi="微软雅黑" w:cs="微软雅黑" w:hint="eastAsia"/>
          <w:szCs w:val="21"/>
        </w:rPr>
        <w:t>有点你</w:t>
      </w:r>
      <w:proofErr w:type="gramEnd"/>
      <w:r>
        <w:rPr>
          <w:rFonts w:ascii="微软雅黑" w:eastAsia="微软雅黑" w:hAnsi="微软雅黑" w:cs="微软雅黑" w:hint="eastAsia"/>
          <w:szCs w:val="21"/>
        </w:rPr>
        <w:t>方唱罢我登场的味道而且观点也不一致，甚至相反。即使官方的正统立场，也有不少不同意见。本人经历了改革开放的全过程，既为其大造舆论，也参与过一些实践，借此，我们也想谈谈自己</w:t>
      </w:r>
      <w:r>
        <w:rPr>
          <w:rFonts w:ascii="微软雅黑" w:eastAsia="微软雅黑" w:hAnsi="微软雅黑" w:cs="微软雅黑" w:hint="eastAsia"/>
          <w:szCs w:val="21"/>
        </w:rPr>
        <w:lastRenderedPageBreak/>
        <w:t>的看法，而且按国人的传统，凑了十条，不管好坏对错也是一家之言，供有兴趣的善思者参考。</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b/>
          <w:bCs/>
          <w:szCs w:val="21"/>
        </w:rPr>
        <w:t>首先，</w:t>
      </w:r>
      <w:r>
        <w:rPr>
          <w:rFonts w:ascii="微软雅黑" w:eastAsia="微软雅黑" w:hAnsi="微软雅黑" w:cs="微软雅黑" w:hint="eastAsia"/>
          <w:szCs w:val="21"/>
        </w:rPr>
        <w:t>改革开放不是在形势好的时候发生的，而是日子混不下去时候的选择，而且失败得越惨，改革有可能越彻底。由于十年文革的破坏，国民经济到了崩溃的边缘，共产党在大陆</w:t>
      </w:r>
      <w:proofErr w:type="gramStart"/>
      <w:r>
        <w:rPr>
          <w:rFonts w:ascii="微软雅黑" w:eastAsia="微软雅黑" w:hAnsi="微软雅黑" w:cs="微软雅黑" w:hint="eastAsia"/>
          <w:szCs w:val="21"/>
        </w:rPr>
        <w:t>建政治理</w:t>
      </w:r>
      <w:proofErr w:type="gramEnd"/>
      <w:r>
        <w:rPr>
          <w:rFonts w:ascii="微软雅黑" w:eastAsia="微软雅黑" w:hAnsi="微软雅黑" w:cs="微软雅黑" w:hint="eastAsia"/>
          <w:szCs w:val="21"/>
        </w:rPr>
        <w:t>30年，老百姓还填不饱肚子，继续统治的合法性受到威胁，发生动摇。因此，不得不改弦更张，放弃计划经济的老路，走向市场经济的新途。但共产党并未失败，还保持着对大陆的统治，因此，不可能根本改变以前的制度结构。</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b/>
          <w:bCs/>
          <w:szCs w:val="21"/>
        </w:rPr>
        <w:t>其次，</w:t>
      </w:r>
      <w:r>
        <w:rPr>
          <w:rFonts w:ascii="微软雅黑" w:eastAsia="微软雅黑" w:hAnsi="微软雅黑" w:cs="微软雅黑" w:hint="eastAsia"/>
          <w:szCs w:val="21"/>
        </w:rPr>
        <w:t>改革开放的成败取决于对过去所犯错误的认识和反省。改革的主要成果，一是批判和放弃了以阶级斗争为纲的错误，把全党工作的重心转移到以经济建设为中心的轨道上来，并坚持发展是硬道理，因而取得了经济发展的辉煌成就。二是认识到过去的计划体制是政府管得过多，控制太死，因而在改革开放初期，政府放松管制，放弃和下放了一部分权力，因而激活了民间的积极性，但到了后期又加强管制，不仅企图垄断全部公共事务，甚至以新的方式把手伸进私人领域，扼杀了民间的活力。至于对过去的主要错误，如土改、合作化和公社化、对资改造、反右派、反右倾等，并未真正认识和深刻检讨，相反，1981年通过的《历史问题决议》认为，建国32年的历史是“我们党在马克思列宁主义、毛泽东思想指导下，领导全国各族人民进行社会主义革命和社会主义建设并取得巨大成就的历史”。甚至对文革的认识也从深重的“灾难”变成了可贵的“探索”。这既决定了我们改革开放能走多远，也决定了我们今天的局面。可见，认错的程度制约着纠错的能力和水平，反思的深度决定了改革成败的程度。</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b/>
          <w:bCs/>
          <w:szCs w:val="21"/>
        </w:rPr>
        <w:t>第三，</w:t>
      </w:r>
      <w:r>
        <w:rPr>
          <w:rFonts w:ascii="微软雅黑" w:eastAsia="微软雅黑" w:hAnsi="微软雅黑" w:cs="微软雅黑" w:hint="eastAsia"/>
          <w:szCs w:val="21"/>
        </w:rPr>
        <w:t>对外开放是中国重大的战略调整，在改革发展中起了重要作用，可以说是以开放促改革，促发展。这种战略调整是从过去的“一边倒”（向苏联）改变为向发达国家开放，这是中国全方位开放的主要方向和主要经验。中美贸易争端和一些发达国家对中国态度的改变，恐怕与我们开放方向的动摇有关。这就恶化了我们的国际环境。不仅如此，对外开放先要对内开放，对外开放的基础才能更为扎实和稳固。这方面的处理也多有失误。</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b/>
          <w:bCs/>
          <w:szCs w:val="21"/>
        </w:rPr>
        <w:t>第四，</w:t>
      </w:r>
      <w:r>
        <w:rPr>
          <w:rFonts w:ascii="微软雅黑" w:eastAsia="微软雅黑" w:hAnsi="微软雅黑" w:cs="微软雅黑" w:hint="eastAsia"/>
          <w:szCs w:val="21"/>
        </w:rPr>
        <w:t>改革开放是一场深刻的社会变革，首先需要解放思想，形成一个自由言说的思想市场。改革开放初期开展的“实践检验真理”的大讨论，以及理论务虚会的召开，在一定程度上起到了这样的作用。但邓小平提出“四项基本原则”，对言论自由设定了范围和限制，理论务虚会草草收场。关于社会主义经济是计划经济还是商品经济的第一场大辩论，因陈云春节讲话纠偏而转向，形成对有计划商品经济的大批判。赵紫阳给政治局常委写信，在商品经济前加上“公有制为基础有计划”的定语，获得邓小平和陈云肯定，才将其写进《改革决定》。第二场辩论中，皇甫平传达邓小平思想，受到中央主要报刊的全面批判，第二年邓小平南巡发动反击，理论界接受了上次不战而降的教训，几乎都在工具论意义上接受了市场经济，14大做出了关于建立社会主义市场经济体制的决定。可见，两次理论辩论都有保留，形成的共识似是而非，辩论的方式也是隔空喊话，邓小平甚至倡导“不争论”，始终未能形</w:t>
      </w:r>
      <w:r>
        <w:rPr>
          <w:rFonts w:ascii="微软雅黑" w:eastAsia="微软雅黑" w:hAnsi="微软雅黑" w:cs="微软雅黑" w:hint="eastAsia"/>
          <w:szCs w:val="21"/>
        </w:rPr>
        <w:lastRenderedPageBreak/>
        <w:t>成一个自由言说的思想市场。现在更没有了自由讨论的空间。</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b/>
          <w:bCs/>
          <w:szCs w:val="21"/>
        </w:rPr>
        <w:t>第五，</w:t>
      </w:r>
      <w:r>
        <w:rPr>
          <w:rFonts w:ascii="微软雅黑" w:eastAsia="微软雅黑" w:hAnsi="微软雅黑" w:cs="微软雅黑" w:hint="eastAsia"/>
          <w:szCs w:val="21"/>
        </w:rPr>
        <w:t>改革是一场全方位的变革，特别是政治体制改革和经济体制改革必须同时进行，相互促进。我们的经济改革的确有不少创造和突破，比如，后面要讲的双轨制、地区竞争、农村承包等，但政治改革善乏可陈，其最大成果是打破了干部终身制，实现了年轻化，但没有坚持下来。搞乡镇直选试点发生了扭曲，不了了之。不仅行政官员由组织部门管理，国企老总也由党委任命，甚至连非国有企业和社会团体也要建立党的组织。总之，大陆初期的政治改革左顾右盼，保留太多，后期放弃，经济改革也就难免走回头路。</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b/>
          <w:bCs/>
          <w:szCs w:val="21"/>
        </w:rPr>
        <w:t>第六，</w:t>
      </w:r>
      <w:r>
        <w:rPr>
          <w:rFonts w:ascii="微软雅黑" w:eastAsia="微软雅黑" w:hAnsi="微软雅黑" w:cs="微软雅黑" w:hint="eastAsia"/>
          <w:szCs w:val="21"/>
        </w:rPr>
        <w:t>中国改革其所以推动了经济发展，最根本的是由于政府放松了管制，使老百姓有了自由生存和活动的空间，从而释放出巨大的创造力。中国市场的形成和发展，得益于民营经济的复生和发展，而不是国有经济的扩张和壮大。这些后来都发生了反复。地区竞争在中国的经济发展中起了重要作用，但地方竞争不同于市场竞争，在政府官员既当裁判又当球员的框架下，其正反两个方面的</w:t>
      </w:r>
      <w:proofErr w:type="gramStart"/>
      <w:r>
        <w:rPr>
          <w:rFonts w:ascii="微软雅黑" w:eastAsia="微软雅黑" w:hAnsi="微软雅黑" w:cs="微软雅黑" w:hint="eastAsia"/>
          <w:szCs w:val="21"/>
        </w:rPr>
        <w:t>作用此</w:t>
      </w:r>
      <w:proofErr w:type="gramEnd"/>
      <w:r>
        <w:rPr>
          <w:rFonts w:ascii="微软雅黑" w:eastAsia="微软雅黑" w:hAnsi="微软雅黑" w:cs="微软雅黑" w:hint="eastAsia"/>
          <w:szCs w:val="21"/>
        </w:rPr>
        <w:t>消彼长，现在不仅扭曲了政府行为，也扭曲了市场行为。</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b/>
          <w:bCs/>
          <w:szCs w:val="21"/>
        </w:rPr>
        <w:t>第七，</w:t>
      </w:r>
      <w:r>
        <w:rPr>
          <w:rFonts w:ascii="微软雅黑" w:eastAsia="微软雅黑" w:hAnsi="微软雅黑" w:cs="微软雅黑" w:hint="eastAsia"/>
          <w:szCs w:val="21"/>
        </w:rPr>
        <w:t>取消公社制度，实行联产承包责任制，是中国农村改革的巨大成就，再加上农产品提价，一举解决了十亿人的吃饭问题，推动了非农产业的发展和农民工进城务工。但82宪法规定城镇的土地是国有的，农村的土地是集体的，以宪法侵权的方式推动改革，政府垄断了土地一级市场，不仅再次剥夺农民，形成了土地财政，而且成为农村土地市场化的障碍。金融改革虽有前进，但立足于控制而非放活，结果是地价、利率、汇率三大价格仍处于扭曲状态。</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b/>
          <w:bCs/>
          <w:szCs w:val="21"/>
        </w:rPr>
        <w:t>第八，</w:t>
      </w:r>
      <w:r>
        <w:rPr>
          <w:rFonts w:ascii="微软雅黑" w:eastAsia="微软雅黑" w:hAnsi="微软雅黑" w:cs="微软雅黑" w:hint="eastAsia"/>
          <w:szCs w:val="21"/>
        </w:rPr>
        <w:t>双轨制是中国改革的创造，因为改革过程总是两种体制并存运行的过程。它能够照顾到受损者的利益，使改革易于启动和进行，但也容易造成扭曲，为旧体制复归留下空间。因此双轨制不可久拖不决，更不能长期实施，改革的时限也不能过长。对此，决策者应当清醒，必须创造条件尽快并轨，但我们在很多方面将其固化，以至40年过去了，还在谈改革。</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b/>
          <w:bCs/>
          <w:szCs w:val="21"/>
        </w:rPr>
        <w:t>第九，</w:t>
      </w:r>
      <w:r>
        <w:rPr>
          <w:rFonts w:ascii="微软雅黑" w:eastAsia="微软雅黑" w:hAnsi="微软雅黑" w:cs="微软雅黑" w:hint="eastAsia"/>
          <w:szCs w:val="21"/>
        </w:rPr>
        <w:t>改革需要方向明确，目标坚定，一步一步稳扎稳打，虽然会遇到障碍和挫折，但不应改变方向，放弃目标。8964是中国改革开放遭遇的最大挫折，尽管邓小平南巡力挽狂澜，重回改革开放，但方向和目标已经偏移，此后虽然改革还在推进，但路径依赖已经发生了锁定。</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b/>
          <w:bCs/>
          <w:szCs w:val="21"/>
        </w:rPr>
        <w:t>第十，</w:t>
      </w:r>
      <w:r>
        <w:rPr>
          <w:rFonts w:ascii="微软雅黑" w:eastAsia="微软雅黑" w:hAnsi="微软雅黑" w:cs="微软雅黑" w:hint="eastAsia"/>
          <w:szCs w:val="21"/>
        </w:rPr>
        <w:t>改革都是自上而下的变革，因此，决策者和执行者的理念、素质和能力非常关键。只有牢牢树立了现代思想和现代观念，决心完成中国的现代化改造，才有可能引领中国回归和自立于现代世界民族之林。如果没有现代思想，但还有自知之明，眼睛向下，善于学习，问题也不难解决。怕就怕不懂装懂，刚腹自用，唯我独尊，到处摆出一副教师爷的架式，又迷恋权力，盲目蛮干。这样做就没有不失败的，中国的前进和发展必将遭受巨大挫折。</w:t>
      </w:r>
    </w:p>
    <w:p w:rsidR="009519D8" w:rsidRDefault="009519D8" w:rsidP="009519D8">
      <w:pPr>
        <w:pStyle w:val="af"/>
        <w:spacing w:line="460" w:lineRule="exact"/>
        <w:ind w:left="720"/>
        <w:rPr>
          <w:rFonts w:ascii="微软雅黑" w:eastAsia="微软雅黑" w:hAnsi="微软雅黑" w:cs="微软雅黑"/>
          <w:szCs w:val="21"/>
        </w:rPr>
      </w:pPr>
    </w:p>
    <w:p w:rsidR="009519D8" w:rsidRDefault="009519D8" w:rsidP="009519D8">
      <w:pPr>
        <w:pStyle w:val="af"/>
        <w:spacing w:line="460" w:lineRule="exact"/>
        <w:jc w:val="left"/>
        <w:rPr>
          <w:rFonts w:ascii="微软雅黑" w:eastAsia="微软雅黑" w:hAnsi="微软雅黑" w:cs="微软雅黑"/>
          <w:b/>
          <w:szCs w:val="21"/>
        </w:rPr>
      </w:pPr>
      <w:r>
        <w:rPr>
          <w:rFonts w:ascii="微软雅黑" w:eastAsia="微软雅黑" w:hAnsi="微软雅黑" w:cs="微软雅黑" w:hint="eastAsia"/>
          <w:b/>
          <w:szCs w:val="21"/>
        </w:rPr>
        <w:t>五，趋势预测</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szCs w:val="21"/>
        </w:rPr>
        <w:lastRenderedPageBreak/>
        <w:t>2019年，全球经济走低几乎成为所有机构和人士的共同预期。世界银行称之为“阴云密布”，并调低了今明两年的增长预期。预计2019年全球经济增长2.9%，2020年增长2.8%，均低于去年6月预测0.1个百分点。这是全球经济增速放缓的第二年，2018年3%，2017年3.1%。其中美国维持在2.5%不变，但低于2018年的2.9%。欧元区19</w:t>
      </w:r>
      <w:proofErr w:type="gramStart"/>
      <w:r>
        <w:rPr>
          <w:rFonts w:ascii="微软雅黑" w:eastAsia="微软雅黑" w:hAnsi="微软雅黑" w:cs="微软雅黑" w:hint="eastAsia"/>
          <w:szCs w:val="21"/>
        </w:rPr>
        <w:t>国增长</w:t>
      </w:r>
      <w:proofErr w:type="gramEnd"/>
      <w:r>
        <w:rPr>
          <w:rFonts w:ascii="微软雅黑" w:eastAsia="微软雅黑" w:hAnsi="微软雅黑" w:cs="微软雅黑" w:hint="eastAsia"/>
          <w:szCs w:val="21"/>
        </w:rPr>
        <w:t>1.6%，低于去年的1.9%。中国增长6.2%，低于上年6.5%。只有日本的经济增长从2018年的0.8%上调至0.9%。世行还预测，2019年的世界贸易从2018年的3.8%和2017年的5.4%放缓至3.6%。其原因在于中美贸易冲突，美国加息和美元升值，金融市场无序性增加，英国在未达成协议的情况下脱欧，双方都会蒙受巨大的经济损失，并影响与之相关的东欧和北非国家。经合组织根据先行指数也认为全球经济将进一步放缓。牛津经济咨询社认为，欧洲经济增长疲软，主要是作为火车头的德国增长乏力，2019年的经济增长将低于1.5%，比去年3月普遍预测低0.4个百分点。CEEM《全球宏观经济季度报告》指出，2018年第4季度中国外部经济景气程度继续下行，CEEM-PMI为53.3，较上季下降1.5个百分点。美国和欧元区经济景气程度明显下滑，全球经济景气进入周期下半场。可见，英雄所见略同，大家预期基本一致。</w:t>
      </w:r>
    </w:p>
    <w:p w:rsidR="009519D8" w:rsidRDefault="009519D8" w:rsidP="009519D8">
      <w:pPr>
        <w:pStyle w:val="af"/>
        <w:spacing w:line="460" w:lineRule="exact"/>
        <w:rPr>
          <w:rFonts w:ascii="微软雅黑" w:eastAsia="微软雅黑" w:hAnsi="微软雅黑" w:cs="微软雅黑"/>
          <w:szCs w:val="21"/>
        </w:rPr>
      </w:pPr>
      <w:r>
        <w:rPr>
          <w:rFonts w:ascii="微软雅黑" w:eastAsia="微软雅黑" w:hAnsi="微软雅黑" w:cs="微软雅黑" w:hint="eastAsia"/>
          <w:szCs w:val="21"/>
        </w:rPr>
        <w:t>国内经济下行的趋势已很明显，且内外形势趋紧，即使中美贸易谈判能够达成某种谅解，中美争端也会长期化，经济工作会议提出“六稳定”，强调化解面临的风险，成为今年经济工作的主调。据此，对2019年第1季度和全年的经济预测如下。</w:t>
      </w:r>
    </w:p>
    <w:p w:rsidR="009519D8" w:rsidRDefault="009519D8" w:rsidP="009519D8">
      <w:pPr>
        <w:spacing w:line="180" w:lineRule="exact"/>
        <w:ind w:firstLine="539"/>
        <w:rPr>
          <w:rFonts w:ascii="微软雅黑" w:eastAsia="微软雅黑" w:hAnsi="微软雅黑" w:cs="微软雅黑"/>
          <w:szCs w:val="21"/>
        </w:rPr>
      </w:pPr>
    </w:p>
    <w:tbl>
      <w:tblPr>
        <w:tblW w:w="929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7"/>
        <w:gridCol w:w="1847"/>
        <w:gridCol w:w="1860"/>
        <w:gridCol w:w="1812"/>
        <w:gridCol w:w="1896"/>
      </w:tblGrid>
      <w:tr w:rsidR="009519D8" w:rsidTr="00B4221C">
        <w:trPr>
          <w:cantSplit/>
          <w:trHeight w:val="463"/>
        </w:trPr>
        <w:tc>
          <w:tcPr>
            <w:tcW w:w="1877" w:type="dxa"/>
            <w:vMerge w:val="restart"/>
            <w:tcBorders>
              <w:tl2br w:val="single" w:sz="4" w:space="0" w:color="auto"/>
            </w:tcBorders>
          </w:tcPr>
          <w:p w:rsidR="009519D8" w:rsidRDefault="009519D8" w:rsidP="00B4221C">
            <w:pPr>
              <w:spacing w:line="360" w:lineRule="exact"/>
              <w:rPr>
                <w:rFonts w:ascii="微软雅黑" w:eastAsia="微软雅黑" w:hAnsi="微软雅黑" w:cs="微软雅黑"/>
                <w:b/>
                <w:color w:val="1A1AA6"/>
                <w:szCs w:val="21"/>
              </w:rPr>
            </w:pPr>
            <w:r>
              <w:rPr>
                <w:rFonts w:ascii="微软雅黑" w:eastAsia="微软雅黑" w:hAnsi="微软雅黑" w:cs="微软雅黑" w:hint="eastAsia"/>
                <w:b/>
                <w:color w:val="1A1AA6"/>
                <w:szCs w:val="21"/>
              </w:rPr>
              <w:t xml:space="preserve">      季度</w:t>
            </w:r>
          </w:p>
          <w:p w:rsidR="009519D8" w:rsidRDefault="009519D8" w:rsidP="00B4221C">
            <w:pPr>
              <w:spacing w:line="360" w:lineRule="exact"/>
              <w:rPr>
                <w:rFonts w:ascii="微软雅黑" w:eastAsia="微软雅黑" w:hAnsi="微软雅黑" w:cs="微软雅黑"/>
                <w:b/>
                <w:color w:val="1A1AA6"/>
                <w:szCs w:val="21"/>
              </w:rPr>
            </w:pPr>
          </w:p>
          <w:p w:rsidR="009519D8" w:rsidRDefault="009519D8" w:rsidP="00B4221C">
            <w:pPr>
              <w:spacing w:line="360" w:lineRule="exact"/>
              <w:rPr>
                <w:rFonts w:ascii="微软雅黑" w:eastAsia="微软雅黑" w:hAnsi="微软雅黑" w:cs="微软雅黑"/>
                <w:b/>
                <w:color w:val="1A1AA6"/>
                <w:szCs w:val="21"/>
              </w:rPr>
            </w:pPr>
            <w:r>
              <w:rPr>
                <w:rFonts w:ascii="微软雅黑" w:eastAsia="微软雅黑" w:hAnsi="微软雅黑" w:cs="微软雅黑" w:hint="eastAsia"/>
                <w:b/>
                <w:color w:val="1A1AA6"/>
                <w:szCs w:val="21"/>
              </w:rPr>
              <w:t>经济指标</w:t>
            </w:r>
          </w:p>
        </w:tc>
        <w:tc>
          <w:tcPr>
            <w:tcW w:w="1847" w:type="dxa"/>
          </w:tcPr>
          <w:p w:rsidR="009519D8" w:rsidRDefault="009519D8" w:rsidP="00B4221C">
            <w:pPr>
              <w:spacing w:line="360" w:lineRule="exact"/>
              <w:jc w:val="center"/>
              <w:rPr>
                <w:rFonts w:ascii="微软雅黑" w:eastAsia="微软雅黑" w:hAnsi="微软雅黑" w:cs="微软雅黑"/>
                <w:b/>
                <w:color w:val="1A1AA6"/>
                <w:szCs w:val="21"/>
              </w:rPr>
            </w:pPr>
            <w:r>
              <w:rPr>
                <w:rFonts w:ascii="微软雅黑" w:eastAsia="微软雅黑" w:hAnsi="微软雅黑" w:cs="微软雅黑" w:hint="eastAsia"/>
                <w:b/>
                <w:color w:val="1A1AA6"/>
                <w:szCs w:val="21"/>
              </w:rPr>
              <w:t>2018年全年</w:t>
            </w:r>
          </w:p>
          <w:p w:rsidR="009519D8" w:rsidRDefault="009519D8" w:rsidP="00B4221C">
            <w:pPr>
              <w:spacing w:line="360" w:lineRule="exact"/>
              <w:jc w:val="center"/>
              <w:rPr>
                <w:rFonts w:ascii="微软雅黑" w:eastAsia="微软雅黑" w:hAnsi="微软雅黑" w:cs="微软雅黑"/>
                <w:b/>
                <w:color w:val="1A1AA6"/>
                <w:szCs w:val="21"/>
              </w:rPr>
            </w:pPr>
            <w:r>
              <w:rPr>
                <w:rFonts w:ascii="微软雅黑" w:eastAsia="微软雅黑" w:hAnsi="微软雅黑" w:cs="微软雅黑" w:hint="eastAsia"/>
                <w:b/>
                <w:color w:val="1A1AA6"/>
                <w:szCs w:val="21"/>
              </w:rPr>
              <w:t>（实际）</w:t>
            </w:r>
          </w:p>
        </w:tc>
        <w:tc>
          <w:tcPr>
            <w:tcW w:w="1860" w:type="dxa"/>
          </w:tcPr>
          <w:p w:rsidR="009519D8" w:rsidRDefault="009519D8" w:rsidP="00B4221C">
            <w:pPr>
              <w:spacing w:line="360" w:lineRule="exact"/>
              <w:jc w:val="center"/>
              <w:rPr>
                <w:rFonts w:ascii="微软雅黑" w:eastAsia="微软雅黑" w:hAnsi="微软雅黑" w:cs="微软雅黑"/>
                <w:b/>
                <w:color w:val="1A1AA6"/>
                <w:szCs w:val="21"/>
              </w:rPr>
            </w:pPr>
            <w:r>
              <w:rPr>
                <w:rFonts w:ascii="微软雅黑" w:eastAsia="微软雅黑" w:hAnsi="微软雅黑" w:cs="微软雅黑" w:hint="eastAsia"/>
                <w:b/>
                <w:color w:val="1A1AA6"/>
                <w:szCs w:val="21"/>
              </w:rPr>
              <w:t>2018年1季度（实际）</w:t>
            </w:r>
          </w:p>
        </w:tc>
        <w:tc>
          <w:tcPr>
            <w:tcW w:w="1812" w:type="dxa"/>
          </w:tcPr>
          <w:p w:rsidR="009519D8" w:rsidRDefault="009519D8" w:rsidP="00B4221C">
            <w:pPr>
              <w:spacing w:line="360" w:lineRule="exact"/>
              <w:jc w:val="center"/>
              <w:rPr>
                <w:rFonts w:ascii="微软雅黑" w:eastAsia="微软雅黑" w:hAnsi="微软雅黑" w:cs="微软雅黑"/>
                <w:b/>
                <w:color w:val="1A1AA6"/>
                <w:szCs w:val="21"/>
              </w:rPr>
            </w:pPr>
            <w:r>
              <w:rPr>
                <w:rFonts w:ascii="微软雅黑" w:eastAsia="微软雅黑" w:hAnsi="微软雅黑" w:cs="微软雅黑" w:hint="eastAsia"/>
                <w:b/>
                <w:color w:val="1A1AA6"/>
                <w:szCs w:val="21"/>
              </w:rPr>
              <w:t>2019年1季度</w:t>
            </w:r>
          </w:p>
          <w:p w:rsidR="009519D8" w:rsidRDefault="009519D8" w:rsidP="00B4221C">
            <w:pPr>
              <w:spacing w:line="360" w:lineRule="exact"/>
              <w:jc w:val="center"/>
              <w:rPr>
                <w:rFonts w:ascii="微软雅黑" w:eastAsia="微软雅黑" w:hAnsi="微软雅黑" w:cs="微软雅黑"/>
                <w:b/>
                <w:color w:val="1A1AA6"/>
                <w:szCs w:val="21"/>
              </w:rPr>
            </w:pPr>
            <w:r>
              <w:rPr>
                <w:rFonts w:ascii="微软雅黑" w:eastAsia="微软雅黑" w:hAnsi="微软雅黑" w:cs="微软雅黑" w:hint="eastAsia"/>
                <w:b/>
                <w:color w:val="1A1AA6"/>
                <w:szCs w:val="21"/>
              </w:rPr>
              <w:t>（预测）</w:t>
            </w:r>
          </w:p>
        </w:tc>
        <w:tc>
          <w:tcPr>
            <w:tcW w:w="1896" w:type="dxa"/>
          </w:tcPr>
          <w:p w:rsidR="009519D8" w:rsidRDefault="009519D8" w:rsidP="00B4221C">
            <w:pPr>
              <w:spacing w:line="360" w:lineRule="exact"/>
              <w:jc w:val="center"/>
              <w:rPr>
                <w:rFonts w:ascii="微软雅黑" w:eastAsia="微软雅黑" w:hAnsi="微软雅黑" w:cs="微软雅黑"/>
                <w:b/>
                <w:color w:val="1A1AA6"/>
                <w:szCs w:val="21"/>
              </w:rPr>
            </w:pPr>
            <w:r>
              <w:rPr>
                <w:rFonts w:ascii="微软雅黑" w:eastAsia="微软雅黑" w:hAnsi="微软雅黑" w:cs="微软雅黑" w:hint="eastAsia"/>
                <w:b/>
                <w:color w:val="1A1AA6"/>
                <w:szCs w:val="21"/>
              </w:rPr>
              <w:t>2019年全年</w:t>
            </w:r>
          </w:p>
          <w:p w:rsidR="009519D8" w:rsidRDefault="009519D8" w:rsidP="00B4221C">
            <w:pPr>
              <w:spacing w:line="360" w:lineRule="exact"/>
              <w:jc w:val="center"/>
              <w:rPr>
                <w:rFonts w:ascii="微软雅黑" w:eastAsia="微软雅黑" w:hAnsi="微软雅黑" w:cs="微软雅黑"/>
                <w:b/>
                <w:color w:val="1A1AA6"/>
                <w:szCs w:val="21"/>
              </w:rPr>
            </w:pPr>
            <w:r>
              <w:rPr>
                <w:rFonts w:ascii="微软雅黑" w:eastAsia="微软雅黑" w:hAnsi="微软雅黑" w:cs="微软雅黑" w:hint="eastAsia"/>
                <w:b/>
                <w:color w:val="1A1AA6"/>
                <w:szCs w:val="21"/>
              </w:rPr>
              <w:t>（预测）</w:t>
            </w:r>
          </w:p>
        </w:tc>
      </w:tr>
      <w:tr w:rsidR="009519D8" w:rsidTr="00B4221C">
        <w:trPr>
          <w:cantSplit/>
          <w:trHeight w:val="285"/>
        </w:trPr>
        <w:tc>
          <w:tcPr>
            <w:tcW w:w="1877" w:type="dxa"/>
            <w:vMerge/>
          </w:tcPr>
          <w:p w:rsidR="009519D8" w:rsidRDefault="009519D8" w:rsidP="00B4221C">
            <w:pPr>
              <w:spacing w:line="360" w:lineRule="exact"/>
              <w:rPr>
                <w:rFonts w:ascii="微软雅黑" w:eastAsia="微软雅黑" w:hAnsi="微软雅黑" w:cs="微软雅黑"/>
                <w:szCs w:val="21"/>
              </w:rPr>
            </w:pPr>
          </w:p>
        </w:tc>
        <w:tc>
          <w:tcPr>
            <w:tcW w:w="1847" w:type="dxa"/>
          </w:tcPr>
          <w:p w:rsidR="009519D8" w:rsidRDefault="009519D8" w:rsidP="00B4221C">
            <w:pPr>
              <w:spacing w:line="360" w:lineRule="exact"/>
              <w:jc w:val="center"/>
              <w:rPr>
                <w:rFonts w:ascii="微软雅黑" w:eastAsia="微软雅黑" w:hAnsi="微软雅黑" w:cs="微软雅黑"/>
                <w:szCs w:val="21"/>
              </w:rPr>
            </w:pPr>
            <w:r>
              <w:rPr>
                <w:rFonts w:ascii="微软雅黑" w:eastAsia="微软雅黑" w:hAnsi="微软雅黑" w:cs="微软雅黑" w:hint="eastAsia"/>
                <w:szCs w:val="21"/>
              </w:rPr>
              <w:t>增长（%）</w:t>
            </w:r>
          </w:p>
        </w:tc>
        <w:tc>
          <w:tcPr>
            <w:tcW w:w="1860" w:type="dxa"/>
          </w:tcPr>
          <w:p w:rsidR="009519D8" w:rsidRDefault="009519D8" w:rsidP="00B4221C">
            <w:pPr>
              <w:spacing w:line="360" w:lineRule="exact"/>
              <w:jc w:val="center"/>
              <w:rPr>
                <w:rFonts w:ascii="微软雅黑" w:eastAsia="微软雅黑" w:hAnsi="微软雅黑" w:cs="微软雅黑"/>
                <w:szCs w:val="21"/>
              </w:rPr>
            </w:pPr>
            <w:r>
              <w:rPr>
                <w:rFonts w:ascii="微软雅黑" w:eastAsia="微软雅黑" w:hAnsi="微软雅黑" w:cs="微软雅黑" w:hint="eastAsia"/>
                <w:szCs w:val="21"/>
              </w:rPr>
              <w:t>增长（%）</w:t>
            </w:r>
          </w:p>
        </w:tc>
        <w:tc>
          <w:tcPr>
            <w:tcW w:w="1812" w:type="dxa"/>
          </w:tcPr>
          <w:p w:rsidR="009519D8" w:rsidRDefault="009519D8" w:rsidP="00B4221C">
            <w:pPr>
              <w:spacing w:line="360" w:lineRule="exact"/>
              <w:jc w:val="center"/>
              <w:rPr>
                <w:rFonts w:ascii="微软雅黑" w:eastAsia="微软雅黑" w:hAnsi="微软雅黑" w:cs="微软雅黑"/>
                <w:szCs w:val="21"/>
              </w:rPr>
            </w:pPr>
            <w:r>
              <w:rPr>
                <w:rFonts w:ascii="微软雅黑" w:eastAsia="微软雅黑" w:hAnsi="微软雅黑" w:cs="微软雅黑" w:hint="eastAsia"/>
                <w:szCs w:val="21"/>
              </w:rPr>
              <w:t>增长（%）</w:t>
            </w:r>
          </w:p>
        </w:tc>
        <w:tc>
          <w:tcPr>
            <w:tcW w:w="1896" w:type="dxa"/>
          </w:tcPr>
          <w:p w:rsidR="009519D8" w:rsidRDefault="009519D8" w:rsidP="00B4221C">
            <w:pPr>
              <w:spacing w:line="360" w:lineRule="exact"/>
              <w:jc w:val="center"/>
              <w:rPr>
                <w:rFonts w:ascii="微软雅黑" w:eastAsia="微软雅黑" w:hAnsi="微软雅黑" w:cs="微软雅黑"/>
                <w:szCs w:val="21"/>
              </w:rPr>
            </w:pPr>
            <w:r>
              <w:rPr>
                <w:rFonts w:ascii="微软雅黑" w:eastAsia="微软雅黑" w:hAnsi="微软雅黑" w:cs="微软雅黑" w:hint="eastAsia"/>
                <w:szCs w:val="21"/>
              </w:rPr>
              <w:t>增长（%）</w:t>
            </w:r>
          </w:p>
        </w:tc>
      </w:tr>
      <w:tr w:rsidR="009519D8" w:rsidTr="00B4221C">
        <w:trPr>
          <w:cantSplit/>
          <w:trHeight w:val="493"/>
        </w:trPr>
        <w:tc>
          <w:tcPr>
            <w:tcW w:w="1877" w:type="dxa"/>
          </w:tcPr>
          <w:p w:rsidR="009519D8" w:rsidRDefault="009519D8" w:rsidP="00B4221C">
            <w:pPr>
              <w:spacing w:line="360" w:lineRule="exact"/>
              <w:jc w:val="center"/>
              <w:rPr>
                <w:rFonts w:ascii="微软雅黑" w:eastAsia="微软雅黑" w:hAnsi="微软雅黑" w:cs="微软雅黑"/>
                <w:szCs w:val="21"/>
              </w:rPr>
            </w:pPr>
            <w:r>
              <w:rPr>
                <w:rFonts w:ascii="微软雅黑" w:eastAsia="微软雅黑" w:hAnsi="微软雅黑" w:cs="微软雅黑" w:hint="eastAsia"/>
                <w:szCs w:val="21"/>
              </w:rPr>
              <w:t>GDP</w:t>
            </w:r>
          </w:p>
        </w:tc>
        <w:tc>
          <w:tcPr>
            <w:tcW w:w="1847" w:type="dxa"/>
          </w:tcPr>
          <w:p w:rsidR="009519D8" w:rsidRDefault="009519D8" w:rsidP="00B4221C">
            <w:pPr>
              <w:spacing w:line="36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6.6</w:t>
            </w:r>
          </w:p>
        </w:tc>
        <w:tc>
          <w:tcPr>
            <w:tcW w:w="1860" w:type="dxa"/>
          </w:tcPr>
          <w:p w:rsidR="009519D8" w:rsidRDefault="009519D8" w:rsidP="00B4221C">
            <w:pPr>
              <w:spacing w:line="36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6.8</w:t>
            </w:r>
          </w:p>
        </w:tc>
        <w:tc>
          <w:tcPr>
            <w:tcW w:w="1812" w:type="dxa"/>
          </w:tcPr>
          <w:p w:rsidR="009519D8" w:rsidRDefault="009519D8" w:rsidP="00B4221C">
            <w:pPr>
              <w:spacing w:line="36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5.9</w:t>
            </w:r>
          </w:p>
        </w:tc>
        <w:tc>
          <w:tcPr>
            <w:tcW w:w="1896" w:type="dxa"/>
          </w:tcPr>
          <w:p w:rsidR="009519D8" w:rsidRDefault="009519D8" w:rsidP="00B4221C">
            <w:pPr>
              <w:spacing w:line="36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6.0</w:t>
            </w:r>
          </w:p>
        </w:tc>
      </w:tr>
      <w:tr w:rsidR="009519D8" w:rsidTr="00B4221C">
        <w:trPr>
          <w:cantSplit/>
          <w:trHeight w:val="457"/>
        </w:trPr>
        <w:tc>
          <w:tcPr>
            <w:tcW w:w="1877" w:type="dxa"/>
          </w:tcPr>
          <w:p w:rsidR="009519D8" w:rsidRDefault="009519D8" w:rsidP="00B4221C">
            <w:pPr>
              <w:spacing w:line="360" w:lineRule="exact"/>
              <w:jc w:val="center"/>
              <w:rPr>
                <w:rFonts w:ascii="微软雅黑" w:eastAsia="微软雅黑" w:hAnsi="微软雅黑" w:cs="微软雅黑"/>
                <w:szCs w:val="21"/>
              </w:rPr>
            </w:pPr>
            <w:r>
              <w:rPr>
                <w:rFonts w:ascii="微软雅黑" w:eastAsia="微软雅黑" w:hAnsi="微软雅黑" w:cs="微软雅黑" w:hint="eastAsia"/>
                <w:szCs w:val="21"/>
              </w:rPr>
              <w:t>工业增加值</w:t>
            </w:r>
          </w:p>
        </w:tc>
        <w:tc>
          <w:tcPr>
            <w:tcW w:w="1847" w:type="dxa"/>
          </w:tcPr>
          <w:p w:rsidR="009519D8" w:rsidRDefault="009519D8" w:rsidP="00B4221C">
            <w:pPr>
              <w:spacing w:line="36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6.2</w:t>
            </w:r>
          </w:p>
        </w:tc>
        <w:tc>
          <w:tcPr>
            <w:tcW w:w="1860" w:type="dxa"/>
          </w:tcPr>
          <w:p w:rsidR="009519D8" w:rsidRDefault="009519D8" w:rsidP="00B4221C">
            <w:pPr>
              <w:spacing w:line="36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6.8</w:t>
            </w:r>
          </w:p>
        </w:tc>
        <w:tc>
          <w:tcPr>
            <w:tcW w:w="1812" w:type="dxa"/>
          </w:tcPr>
          <w:p w:rsidR="009519D8" w:rsidRDefault="009519D8" w:rsidP="00B4221C">
            <w:pPr>
              <w:spacing w:line="36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6</w:t>
            </w:r>
          </w:p>
        </w:tc>
        <w:tc>
          <w:tcPr>
            <w:tcW w:w="1896" w:type="dxa"/>
          </w:tcPr>
          <w:p w:rsidR="009519D8" w:rsidRDefault="009519D8" w:rsidP="00B4221C">
            <w:pPr>
              <w:spacing w:line="36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6.1</w:t>
            </w:r>
          </w:p>
        </w:tc>
      </w:tr>
      <w:tr w:rsidR="009519D8" w:rsidTr="00B4221C">
        <w:trPr>
          <w:cantSplit/>
          <w:trHeight w:val="462"/>
        </w:trPr>
        <w:tc>
          <w:tcPr>
            <w:tcW w:w="1877" w:type="dxa"/>
          </w:tcPr>
          <w:p w:rsidR="009519D8" w:rsidRDefault="009519D8" w:rsidP="00B4221C">
            <w:pPr>
              <w:spacing w:line="360" w:lineRule="exact"/>
              <w:jc w:val="center"/>
              <w:rPr>
                <w:rFonts w:ascii="微软雅黑" w:eastAsia="微软雅黑" w:hAnsi="微软雅黑" w:cs="微软雅黑"/>
                <w:szCs w:val="21"/>
              </w:rPr>
            </w:pPr>
            <w:r>
              <w:rPr>
                <w:rFonts w:ascii="微软雅黑" w:eastAsia="微软雅黑" w:hAnsi="微软雅黑" w:cs="微软雅黑" w:hint="eastAsia"/>
                <w:szCs w:val="21"/>
              </w:rPr>
              <w:t>固定资产投资</w:t>
            </w:r>
          </w:p>
        </w:tc>
        <w:tc>
          <w:tcPr>
            <w:tcW w:w="1847" w:type="dxa"/>
          </w:tcPr>
          <w:p w:rsidR="009519D8" w:rsidRDefault="009519D8" w:rsidP="00B4221C">
            <w:pPr>
              <w:spacing w:line="36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5.9</w:t>
            </w:r>
          </w:p>
        </w:tc>
        <w:tc>
          <w:tcPr>
            <w:tcW w:w="1860" w:type="dxa"/>
          </w:tcPr>
          <w:p w:rsidR="009519D8" w:rsidRDefault="009519D8" w:rsidP="00B4221C">
            <w:pPr>
              <w:spacing w:line="36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7.5</w:t>
            </w:r>
          </w:p>
        </w:tc>
        <w:tc>
          <w:tcPr>
            <w:tcW w:w="1812" w:type="dxa"/>
          </w:tcPr>
          <w:p w:rsidR="009519D8" w:rsidRDefault="009519D8" w:rsidP="00B4221C">
            <w:pPr>
              <w:spacing w:line="36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6</w:t>
            </w:r>
          </w:p>
        </w:tc>
        <w:tc>
          <w:tcPr>
            <w:tcW w:w="1896" w:type="dxa"/>
          </w:tcPr>
          <w:p w:rsidR="009519D8" w:rsidRDefault="009519D8" w:rsidP="00B4221C">
            <w:pPr>
              <w:spacing w:line="36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5.6</w:t>
            </w:r>
          </w:p>
        </w:tc>
      </w:tr>
      <w:tr w:rsidR="009519D8" w:rsidTr="00B4221C">
        <w:trPr>
          <w:cantSplit/>
          <w:trHeight w:val="457"/>
        </w:trPr>
        <w:tc>
          <w:tcPr>
            <w:tcW w:w="1877" w:type="dxa"/>
          </w:tcPr>
          <w:p w:rsidR="009519D8" w:rsidRDefault="009519D8" w:rsidP="00B4221C">
            <w:pPr>
              <w:spacing w:line="360" w:lineRule="exact"/>
              <w:jc w:val="center"/>
              <w:rPr>
                <w:rFonts w:ascii="微软雅黑" w:eastAsia="微软雅黑" w:hAnsi="微软雅黑" w:cs="微软雅黑"/>
                <w:szCs w:val="21"/>
              </w:rPr>
            </w:pPr>
            <w:r>
              <w:rPr>
                <w:rFonts w:ascii="微软雅黑" w:eastAsia="微软雅黑" w:hAnsi="微软雅黑" w:cs="微软雅黑" w:hint="eastAsia"/>
                <w:szCs w:val="21"/>
              </w:rPr>
              <w:t>消费品零售额</w:t>
            </w:r>
          </w:p>
        </w:tc>
        <w:tc>
          <w:tcPr>
            <w:tcW w:w="1847" w:type="dxa"/>
          </w:tcPr>
          <w:p w:rsidR="009519D8" w:rsidRDefault="009519D8" w:rsidP="00B4221C">
            <w:pPr>
              <w:spacing w:line="36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9</w:t>
            </w:r>
          </w:p>
        </w:tc>
        <w:tc>
          <w:tcPr>
            <w:tcW w:w="1860" w:type="dxa"/>
          </w:tcPr>
          <w:p w:rsidR="009519D8" w:rsidRDefault="009519D8" w:rsidP="00B4221C">
            <w:pPr>
              <w:spacing w:line="36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9.8</w:t>
            </w:r>
          </w:p>
        </w:tc>
        <w:tc>
          <w:tcPr>
            <w:tcW w:w="1812" w:type="dxa"/>
          </w:tcPr>
          <w:p w:rsidR="009519D8" w:rsidRDefault="009519D8" w:rsidP="00B4221C">
            <w:pPr>
              <w:spacing w:line="36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8.9</w:t>
            </w:r>
          </w:p>
        </w:tc>
        <w:tc>
          <w:tcPr>
            <w:tcW w:w="1896" w:type="dxa"/>
          </w:tcPr>
          <w:p w:rsidR="009519D8" w:rsidRDefault="009519D8" w:rsidP="00B4221C">
            <w:pPr>
              <w:spacing w:line="36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8.8</w:t>
            </w:r>
          </w:p>
        </w:tc>
      </w:tr>
      <w:tr w:rsidR="009519D8" w:rsidTr="00B4221C">
        <w:trPr>
          <w:cantSplit/>
          <w:trHeight w:val="453"/>
        </w:trPr>
        <w:tc>
          <w:tcPr>
            <w:tcW w:w="1877" w:type="dxa"/>
          </w:tcPr>
          <w:p w:rsidR="009519D8" w:rsidRDefault="009519D8" w:rsidP="00B4221C">
            <w:pPr>
              <w:spacing w:line="360" w:lineRule="exact"/>
              <w:jc w:val="center"/>
              <w:rPr>
                <w:rFonts w:ascii="微软雅黑" w:eastAsia="微软雅黑" w:hAnsi="微软雅黑" w:cs="微软雅黑"/>
                <w:szCs w:val="21"/>
              </w:rPr>
            </w:pPr>
            <w:r>
              <w:rPr>
                <w:rFonts w:ascii="微软雅黑" w:eastAsia="微软雅黑" w:hAnsi="微软雅黑" w:cs="微软雅黑" w:hint="eastAsia"/>
                <w:szCs w:val="21"/>
              </w:rPr>
              <w:t>出口</w:t>
            </w:r>
          </w:p>
        </w:tc>
        <w:tc>
          <w:tcPr>
            <w:tcW w:w="1847" w:type="dxa"/>
          </w:tcPr>
          <w:p w:rsidR="009519D8" w:rsidRDefault="009519D8" w:rsidP="00B4221C">
            <w:pPr>
              <w:spacing w:line="36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7.1</w:t>
            </w:r>
          </w:p>
        </w:tc>
        <w:tc>
          <w:tcPr>
            <w:tcW w:w="1860" w:type="dxa"/>
          </w:tcPr>
          <w:p w:rsidR="009519D8" w:rsidRDefault="009519D8" w:rsidP="00B4221C">
            <w:pPr>
              <w:spacing w:line="36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7.4</w:t>
            </w:r>
          </w:p>
        </w:tc>
        <w:tc>
          <w:tcPr>
            <w:tcW w:w="1812" w:type="dxa"/>
          </w:tcPr>
          <w:p w:rsidR="009519D8" w:rsidRDefault="009519D8" w:rsidP="00B4221C">
            <w:pPr>
              <w:spacing w:line="36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-1.0</w:t>
            </w:r>
          </w:p>
        </w:tc>
        <w:tc>
          <w:tcPr>
            <w:tcW w:w="1896" w:type="dxa"/>
          </w:tcPr>
          <w:p w:rsidR="009519D8" w:rsidRDefault="009519D8" w:rsidP="00B4221C">
            <w:pPr>
              <w:spacing w:line="36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3.0</w:t>
            </w:r>
          </w:p>
        </w:tc>
      </w:tr>
      <w:tr w:rsidR="009519D8" w:rsidTr="00B4221C">
        <w:trPr>
          <w:cantSplit/>
          <w:trHeight w:val="459"/>
        </w:trPr>
        <w:tc>
          <w:tcPr>
            <w:tcW w:w="1877" w:type="dxa"/>
          </w:tcPr>
          <w:p w:rsidR="009519D8" w:rsidRDefault="009519D8" w:rsidP="00B4221C">
            <w:pPr>
              <w:spacing w:line="360" w:lineRule="exact"/>
              <w:jc w:val="center"/>
              <w:rPr>
                <w:rFonts w:ascii="微软雅黑" w:eastAsia="微软雅黑" w:hAnsi="微软雅黑" w:cs="微软雅黑"/>
                <w:szCs w:val="21"/>
              </w:rPr>
            </w:pPr>
            <w:r>
              <w:rPr>
                <w:rFonts w:ascii="微软雅黑" w:eastAsia="微软雅黑" w:hAnsi="微软雅黑" w:cs="微软雅黑" w:hint="eastAsia"/>
                <w:szCs w:val="21"/>
              </w:rPr>
              <w:t>进口</w:t>
            </w:r>
          </w:p>
        </w:tc>
        <w:tc>
          <w:tcPr>
            <w:tcW w:w="1847" w:type="dxa"/>
          </w:tcPr>
          <w:p w:rsidR="009519D8" w:rsidRDefault="009519D8" w:rsidP="00B4221C">
            <w:pPr>
              <w:spacing w:line="36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12.9</w:t>
            </w:r>
          </w:p>
        </w:tc>
        <w:tc>
          <w:tcPr>
            <w:tcW w:w="1860" w:type="dxa"/>
          </w:tcPr>
          <w:p w:rsidR="009519D8" w:rsidRDefault="009519D8" w:rsidP="00B4221C">
            <w:pPr>
              <w:spacing w:line="36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11.7</w:t>
            </w:r>
          </w:p>
        </w:tc>
        <w:tc>
          <w:tcPr>
            <w:tcW w:w="1812" w:type="dxa"/>
          </w:tcPr>
          <w:p w:rsidR="009519D8" w:rsidRDefault="009519D8" w:rsidP="00B4221C">
            <w:pPr>
              <w:spacing w:line="36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10.0</w:t>
            </w:r>
          </w:p>
        </w:tc>
        <w:tc>
          <w:tcPr>
            <w:tcW w:w="1896" w:type="dxa"/>
          </w:tcPr>
          <w:p w:rsidR="009519D8" w:rsidRDefault="009519D8" w:rsidP="00B4221C">
            <w:pPr>
              <w:spacing w:line="36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11.0</w:t>
            </w:r>
          </w:p>
        </w:tc>
      </w:tr>
      <w:tr w:rsidR="009519D8" w:rsidTr="00B4221C">
        <w:trPr>
          <w:cantSplit/>
          <w:trHeight w:val="388"/>
        </w:trPr>
        <w:tc>
          <w:tcPr>
            <w:tcW w:w="1877" w:type="dxa"/>
          </w:tcPr>
          <w:p w:rsidR="009519D8" w:rsidRDefault="009519D8" w:rsidP="00B4221C">
            <w:pPr>
              <w:spacing w:line="360" w:lineRule="exact"/>
              <w:jc w:val="center"/>
              <w:rPr>
                <w:rFonts w:ascii="微软雅黑" w:eastAsia="微软雅黑" w:hAnsi="微软雅黑" w:cs="微软雅黑"/>
                <w:szCs w:val="21"/>
              </w:rPr>
            </w:pPr>
            <w:r>
              <w:rPr>
                <w:rFonts w:ascii="微软雅黑" w:eastAsia="微软雅黑" w:hAnsi="微软雅黑" w:cs="微软雅黑" w:hint="eastAsia"/>
                <w:szCs w:val="21"/>
              </w:rPr>
              <w:t>消费物价</w:t>
            </w:r>
          </w:p>
        </w:tc>
        <w:tc>
          <w:tcPr>
            <w:tcW w:w="1847" w:type="dxa"/>
            <w:vAlign w:val="center"/>
          </w:tcPr>
          <w:p w:rsidR="009519D8" w:rsidRDefault="009519D8" w:rsidP="00B4221C">
            <w:pPr>
              <w:spacing w:line="36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2.1</w:t>
            </w:r>
          </w:p>
        </w:tc>
        <w:tc>
          <w:tcPr>
            <w:tcW w:w="1860" w:type="dxa"/>
          </w:tcPr>
          <w:p w:rsidR="009519D8" w:rsidRDefault="009519D8" w:rsidP="00B4221C">
            <w:pPr>
              <w:spacing w:line="36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2.1</w:t>
            </w:r>
          </w:p>
        </w:tc>
        <w:tc>
          <w:tcPr>
            <w:tcW w:w="1812" w:type="dxa"/>
          </w:tcPr>
          <w:p w:rsidR="009519D8" w:rsidRDefault="009519D8" w:rsidP="00B4221C">
            <w:pPr>
              <w:spacing w:line="36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2.3</w:t>
            </w:r>
          </w:p>
        </w:tc>
        <w:tc>
          <w:tcPr>
            <w:tcW w:w="1896" w:type="dxa"/>
          </w:tcPr>
          <w:p w:rsidR="009519D8" w:rsidRDefault="009519D8" w:rsidP="00B4221C">
            <w:pPr>
              <w:spacing w:line="36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2.2</w:t>
            </w:r>
          </w:p>
        </w:tc>
      </w:tr>
    </w:tbl>
    <w:p w:rsidR="009519D8" w:rsidRDefault="009519D8" w:rsidP="009519D8">
      <w:pPr>
        <w:spacing w:line="460" w:lineRule="exact"/>
        <w:ind w:firstLineChars="200" w:firstLine="360"/>
        <w:rPr>
          <w:rFonts w:ascii="微软雅黑" w:eastAsia="微软雅黑" w:hAnsi="微软雅黑" w:cs="微软雅黑"/>
          <w:sz w:val="18"/>
          <w:szCs w:val="18"/>
        </w:rPr>
      </w:pPr>
      <w:r>
        <w:rPr>
          <w:rFonts w:ascii="微软雅黑" w:eastAsia="微软雅黑" w:hAnsi="微软雅黑" w:cs="微软雅黑" w:hint="eastAsia"/>
          <w:b/>
          <w:bCs/>
          <w:sz w:val="18"/>
          <w:szCs w:val="18"/>
        </w:rPr>
        <w:t>注：</w:t>
      </w:r>
      <w:r>
        <w:rPr>
          <w:rFonts w:ascii="微软雅黑" w:eastAsia="微软雅黑" w:hAnsi="微软雅黑" w:cs="微软雅黑" w:hint="eastAsia"/>
          <w:sz w:val="18"/>
          <w:szCs w:val="18"/>
        </w:rPr>
        <w:t>1. GDP和工业增加值增长速度按可比价格计算，其余指标按现价计算；</w:t>
      </w:r>
    </w:p>
    <w:p w:rsidR="009519D8" w:rsidRDefault="009519D8" w:rsidP="009519D8">
      <w:pPr>
        <w:spacing w:line="460" w:lineRule="exact"/>
        <w:ind w:firstLineChars="400" w:firstLine="720"/>
        <w:rPr>
          <w:rFonts w:ascii="微软雅黑" w:eastAsia="微软雅黑" w:hAnsi="微软雅黑" w:cs="微软雅黑"/>
          <w:sz w:val="18"/>
          <w:szCs w:val="18"/>
        </w:rPr>
      </w:pPr>
      <w:r>
        <w:rPr>
          <w:rFonts w:ascii="微软雅黑" w:eastAsia="微软雅黑" w:hAnsi="微软雅黑" w:cs="微软雅黑" w:hint="eastAsia"/>
          <w:b/>
          <w:bCs/>
          <w:sz w:val="18"/>
          <w:szCs w:val="18"/>
        </w:rPr>
        <w:t xml:space="preserve">2. </w:t>
      </w:r>
      <w:r>
        <w:rPr>
          <w:rFonts w:ascii="微软雅黑" w:eastAsia="微软雅黑" w:hAnsi="微软雅黑" w:cs="微软雅黑" w:hint="eastAsia"/>
          <w:sz w:val="18"/>
          <w:szCs w:val="18"/>
        </w:rPr>
        <w:t>固定资产投资指全社会固定资产投资；</w:t>
      </w:r>
    </w:p>
    <w:p w:rsidR="009519D8" w:rsidRDefault="009519D8" w:rsidP="009519D8">
      <w:pPr>
        <w:pStyle w:val="crw1"/>
        <w:ind w:firstLineChars="400" w:firstLine="720"/>
      </w:pPr>
      <w:r>
        <w:rPr>
          <w:rFonts w:hAnsi="微软雅黑" w:cs="微软雅黑" w:hint="eastAsia"/>
          <w:b/>
          <w:bCs/>
          <w:sz w:val="18"/>
          <w:szCs w:val="18"/>
        </w:rPr>
        <w:t xml:space="preserve">3. </w:t>
      </w:r>
      <w:r>
        <w:rPr>
          <w:rFonts w:hAnsi="微软雅黑" w:cs="微软雅黑" w:hint="eastAsia"/>
          <w:sz w:val="18"/>
          <w:szCs w:val="18"/>
        </w:rPr>
        <w:t>工业增加值为国有企业和产品销售收入在500万元以上的非国有企业的增加值。</w:t>
      </w:r>
    </w:p>
    <w:p w:rsidR="009519D8" w:rsidRDefault="009519D8" w:rsidP="009519D8">
      <w:pPr>
        <w:spacing w:line="100" w:lineRule="exact"/>
        <w:rPr>
          <w:rFonts w:ascii="微软雅黑" w:eastAsia="微软雅黑" w:hAnsi="微软雅黑" w:cs="微软雅黑"/>
          <w:szCs w:val="21"/>
        </w:rPr>
      </w:pPr>
    </w:p>
    <w:p w:rsidR="009519D8" w:rsidRDefault="009519D8" w:rsidP="009519D8">
      <w:pPr>
        <w:spacing w:line="340" w:lineRule="exact"/>
        <w:ind w:firstLine="570"/>
        <w:rPr>
          <w:rFonts w:ascii="微软雅黑" w:eastAsia="微软雅黑" w:hAnsi="微软雅黑" w:cs="微软雅黑"/>
          <w:sz w:val="18"/>
          <w:szCs w:val="18"/>
        </w:rPr>
      </w:pPr>
      <w:r>
        <w:rPr>
          <w:rFonts w:ascii="微软雅黑" w:eastAsia="微软雅黑" w:hAnsi="微软雅黑" w:cs="微软雅黑" w:hint="eastAsia"/>
          <w:szCs w:val="21"/>
        </w:rPr>
        <w:t xml:space="preserve">　　　　　　　　　　                      　         </w:t>
      </w:r>
      <w:r>
        <w:rPr>
          <w:rFonts w:ascii="微软雅黑" w:eastAsia="微软雅黑" w:hAnsi="微软雅黑" w:cs="微软雅黑" w:hint="eastAsia"/>
          <w:sz w:val="18"/>
          <w:szCs w:val="18"/>
        </w:rPr>
        <w:t>张曙光（中国社会科学院经济所）</w:t>
      </w:r>
    </w:p>
    <w:p w:rsidR="009519D8" w:rsidRDefault="009519D8" w:rsidP="009519D8">
      <w:pPr>
        <w:spacing w:line="340" w:lineRule="exact"/>
        <w:ind w:firstLine="570"/>
        <w:rPr>
          <w:rFonts w:ascii="微软雅黑" w:eastAsia="微软雅黑" w:hAnsi="微软雅黑" w:cs="微软雅黑"/>
          <w:sz w:val="18"/>
          <w:szCs w:val="18"/>
        </w:rPr>
      </w:pPr>
      <w:r>
        <w:rPr>
          <w:rFonts w:ascii="微软雅黑" w:eastAsia="微软雅黑" w:hAnsi="微软雅黑" w:cs="微软雅黑" w:hint="eastAsia"/>
          <w:sz w:val="18"/>
          <w:szCs w:val="18"/>
        </w:rPr>
        <w:t xml:space="preserve">　　　　　　　　　　　                                        张　</w:t>
      </w:r>
      <w:proofErr w:type="gramStart"/>
      <w:r>
        <w:rPr>
          <w:rFonts w:ascii="微软雅黑" w:eastAsia="微软雅黑" w:hAnsi="微软雅黑" w:cs="微软雅黑" w:hint="eastAsia"/>
          <w:sz w:val="18"/>
          <w:szCs w:val="18"/>
        </w:rPr>
        <w:t>弛</w:t>
      </w:r>
      <w:proofErr w:type="gramEnd"/>
      <w:r>
        <w:rPr>
          <w:rFonts w:ascii="微软雅黑" w:eastAsia="微软雅黑" w:hAnsi="微软雅黑" w:cs="微软雅黑" w:hint="eastAsia"/>
          <w:sz w:val="18"/>
          <w:szCs w:val="18"/>
        </w:rPr>
        <w:t>（中国政法大学商学院）</w:t>
      </w:r>
    </w:p>
    <w:p w:rsidR="009519D8" w:rsidRDefault="009519D8" w:rsidP="009519D8">
      <w:pPr>
        <w:spacing w:line="340" w:lineRule="exact"/>
        <w:ind w:firstLineChars="3400" w:firstLine="6120"/>
        <w:rPr>
          <w:rFonts w:ascii="微软雅黑" w:eastAsia="微软雅黑" w:hAnsi="微软雅黑" w:cs="微软雅黑"/>
          <w:sz w:val="18"/>
          <w:szCs w:val="18"/>
        </w:rPr>
      </w:pPr>
      <w:r>
        <w:rPr>
          <w:rFonts w:ascii="微软雅黑" w:eastAsia="微软雅黑" w:hAnsi="微软雅黑" w:cs="微软雅黑" w:hint="eastAsia"/>
          <w:sz w:val="18"/>
          <w:szCs w:val="18"/>
        </w:rPr>
        <w:t>2019－01－25，于北京</w:t>
      </w:r>
    </w:p>
    <w:p w:rsidR="00C45E68" w:rsidRDefault="00C45E68">
      <w:pPr>
        <w:wordWrap w:val="0"/>
        <w:spacing w:line="240" w:lineRule="exact"/>
        <w:jc w:val="right"/>
      </w:pPr>
    </w:p>
    <w:sectPr w:rsidR="00C45E68" w:rsidSect="00C45E68">
      <w:footerReference w:type="default" r:id="rId15"/>
      <w:footerReference w:type="first" r:id="rId16"/>
      <w:pgSz w:w="11906" w:h="16838"/>
      <w:pgMar w:top="964" w:right="1304" w:bottom="850" w:left="1304" w:header="851" w:footer="992" w:gutter="0"/>
      <w:cols w:space="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BE9" w:rsidRDefault="002D6BE9" w:rsidP="00C45E68">
      <w:r>
        <w:separator/>
      </w:r>
    </w:p>
  </w:endnote>
  <w:endnote w:type="continuationSeparator" w:id="0">
    <w:p w:rsidR="002D6BE9" w:rsidRDefault="002D6BE9" w:rsidP="00C45E6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874874"/>
    </w:sdtPr>
    <w:sdtContent>
      <w:p w:rsidR="00C45E68" w:rsidRDefault="00C45E68">
        <w:pPr>
          <w:pStyle w:val="a6"/>
          <w:jc w:val="center"/>
        </w:pPr>
        <w:r>
          <w:fldChar w:fldCharType="begin"/>
        </w:r>
        <w:r w:rsidR="002D6BE9">
          <w:instrText>PAGE   \* MERGEFORMAT</w:instrText>
        </w:r>
        <w:r>
          <w:fldChar w:fldCharType="separate"/>
        </w:r>
        <w:r w:rsidR="009519D8" w:rsidRPr="009519D8">
          <w:rPr>
            <w:noProof/>
            <w:lang w:val="zh-CN"/>
          </w:rPr>
          <w:t>2</w:t>
        </w:r>
        <w: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3643221"/>
    </w:sdtPr>
    <w:sdtContent>
      <w:p w:rsidR="00C45E68" w:rsidRDefault="00C45E68">
        <w:pPr>
          <w:pStyle w:val="a6"/>
          <w:jc w:val="center"/>
        </w:pPr>
        <w:r>
          <w:fldChar w:fldCharType="begin"/>
        </w:r>
        <w:r w:rsidR="002D6BE9">
          <w:instrText>PAGE   \* MERGEFORMAT</w:instrText>
        </w:r>
        <w:r>
          <w:fldChar w:fldCharType="separate"/>
        </w:r>
        <w:r w:rsidR="009519D8" w:rsidRPr="009519D8">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BE9" w:rsidRDefault="002D6BE9" w:rsidP="00C45E68">
      <w:r>
        <w:separator/>
      </w:r>
    </w:p>
  </w:footnote>
  <w:footnote w:type="continuationSeparator" w:id="0">
    <w:p w:rsidR="002D6BE9" w:rsidRDefault="002D6BE9" w:rsidP="00C45E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5FD22A"/>
    <w:multiLevelType w:val="singleLevel"/>
    <w:tmpl w:val="AD5FD22A"/>
    <w:lvl w:ilvl="0">
      <w:start w:val="2"/>
      <w:numFmt w:val="decimal"/>
      <w:suff w:val="space"/>
      <w:lvlText w:val="%1."/>
      <w:lvlJc w:val="left"/>
    </w:lvl>
  </w:abstractNum>
  <w:abstractNum w:abstractNumId="1">
    <w:nsid w:val="EEE0ECCA"/>
    <w:multiLevelType w:val="singleLevel"/>
    <w:tmpl w:val="EEE0ECCA"/>
    <w:lvl w:ilvl="0">
      <w:start w:val="1"/>
      <w:numFmt w:val="decimal"/>
      <w:suff w:val="nothing"/>
      <w:lvlText w:val="%1．"/>
      <w:lvlJc w:val="left"/>
    </w:lvl>
  </w:abstractNum>
  <w:abstractNum w:abstractNumId="2">
    <w:nsid w:val="1C1AC857"/>
    <w:multiLevelType w:val="singleLevel"/>
    <w:tmpl w:val="1C1AC857"/>
    <w:lvl w:ilvl="0">
      <w:start w:val="1"/>
      <w:numFmt w:val="decimal"/>
      <w:suff w:val="nothing"/>
      <w:lvlText w:val="%1．"/>
      <w:lvlJc w:val="left"/>
    </w:lvl>
  </w:abstractNum>
  <w:abstractNum w:abstractNumId="3">
    <w:nsid w:val="3561261A"/>
    <w:multiLevelType w:val="singleLevel"/>
    <w:tmpl w:val="3561261A"/>
    <w:lvl w:ilvl="0">
      <w:start w:val="1"/>
      <w:numFmt w:val="decimal"/>
      <w:suff w:val="nothing"/>
      <w:lvlText w:val="%1．"/>
      <w:lvlJc w:val="left"/>
    </w:lvl>
  </w:abstractNum>
  <w:abstractNum w:abstractNumId="4">
    <w:nsid w:val="41F177F1"/>
    <w:multiLevelType w:val="multilevel"/>
    <w:tmpl w:val="41F177F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5CFF0119"/>
    <w:multiLevelType w:val="singleLevel"/>
    <w:tmpl w:val="5CFF0119"/>
    <w:lvl w:ilvl="0">
      <w:start w:val="3"/>
      <w:numFmt w:val="decimal"/>
      <w:suff w:val="space"/>
      <w:lvlText w:val="%1."/>
      <w:lvlJc w:val="left"/>
    </w:lvl>
  </w:abstractNum>
  <w:abstractNum w:abstractNumId="6">
    <w:nsid w:val="69AA90BE"/>
    <w:multiLevelType w:val="singleLevel"/>
    <w:tmpl w:val="69AA90BE"/>
    <w:lvl w:ilvl="0">
      <w:start w:val="2"/>
      <w:numFmt w:val="decimal"/>
      <w:suff w:val="space"/>
      <w:lvlText w:val="%1."/>
      <w:lvlJc w:val="left"/>
    </w:lvl>
  </w:abstractNum>
  <w:num w:numId="1">
    <w:abstractNumId w:val="3"/>
  </w:num>
  <w:num w:numId="2">
    <w:abstractNumId w:val="1"/>
  </w:num>
  <w:num w:numId="3">
    <w:abstractNumId w:val="2"/>
  </w:num>
  <w:num w:numId="4">
    <w:abstractNumId w:val="0"/>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grammar="clean"/>
  <w:defaultTabStop w:val="420"/>
  <w:drawingGridHorizontalSpacing w:val="105"/>
  <w:drawingGridVerticalSpacing w:val="156"/>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01239"/>
    <w:rsid w:val="00002FC5"/>
    <w:rsid w:val="00004394"/>
    <w:rsid w:val="0000694F"/>
    <w:rsid w:val="00010FD9"/>
    <w:rsid w:val="0001269F"/>
    <w:rsid w:val="00012881"/>
    <w:rsid w:val="00013054"/>
    <w:rsid w:val="00013BF9"/>
    <w:rsid w:val="00015F3F"/>
    <w:rsid w:val="00017EE2"/>
    <w:rsid w:val="0002084D"/>
    <w:rsid w:val="00021150"/>
    <w:rsid w:val="00022DD2"/>
    <w:rsid w:val="000262BB"/>
    <w:rsid w:val="00027988"/>
    <w:rsid w:val="000302A4"/>
    <w:rsid w:val="00030A09"/>
    <w:rsid w:val="00032454"/>
    <w:rsid w:val="00033A8A"/>
    <w:rsid w:val="00035479"/>
    <w:rsid w:val="000361D3"/>
    <w:rsid w:val="0004305A"/>
    <w:rsid w:val="000447F3"/>
    <w:rsid w:val="00045881"/>
    <w:rsid w:val="00045FCD"/>
    <w:rsid w:val="000460C3"/>
    <w:rsid w:val="00046451"/>
    <w:rsid w:val="00057B2E"/>
    <w:rsid w:val="00057ED9"/>
    <w:rsid w:val="00060B48"/>
    <w:rsid w:val="00062696"/>
    <w:rsid w:val="0006416D"/>
    <w:rsid w:val="00064C9D"/>
    <w:rsid w:val="00064D67"/>
    <w:rsid w:val="00065F83"/>
    <w:rsid w:val="00067D12"/>
    <w:rsid w:val="00072162"/>
    <w:rsid w:val="00072DEA"/>
    <w:rsid w:val="00072DF9"/>
    <w:rsid w:val="000733FF"/>
    <w:rsid w:val="0007352E"/>
    <w:rsid w:val="00073835"/>
    <w:rsid w:val="00073E56"/>
    <w:rsid w:val="00074518"/>
    <w:rsid w:val="00075113"/>
    <w:rsid w:val="00076740"/>
    <w:rsid w:val="00076C91"/>
    <w:rsid w:val="00082CC5"/>
    <w:rsid w:val="000831A6"/>
    <w:rsid w:val="000837D6"/>
    <w:rsid w:val="000851F8"/>
    <w:rsid w:val="00085B81"/>
    <w:rsid w:val="00086314"/>
    <w:rsid w:val="0008767C"/>
    <w:rsid w:val="000900A9"/>
    <w:rsid w:val="00091DAB"/>
    <w:rsid w:val="00092501"/>
    <w:rsid w:val="00093B44"/>
    <w:rsid w:val="000949B7"/>
    <w:rsid w:val="00097605"/>
    <w:rsid w:val="00097C8C"/>
    <w:rsid w:val="000A256F"/>
    <w:rsid w:val="000A3485"/>
    <w:rsid w:val="000A47B2"/>
    <w:rsid w:val="000A5532"/>
    <w:rsid w:val="000A5B90"/>
    <w:rsid w:val="000A6AEC"/>
    <w:rsid w:val="000A7698"/>
    <w:rsid w:val="000A791C"/>
    <w:rsid w:val="000B143D"/>
    <w:rsid w:val="000B3800"/>
    <w:rsid w:val="000B400D"/>
    <w:rsid w:val="000B527F"/>
    <w:rsid w:val="000C027F"/>
    <w:rsid w:val="000C5943"/>
    <w:rsid w:val="000C5B47"/>
    <w:rsid w:val="000C7CC5"/>
    <w:rsid w:val="000D34B9"/>
    <w:rsid w:val="000D5923"/>
    <w:rsid w:val="000D6DDC"/>
    <w:rsid w:val="000E0B9A"/>
    <w:rsid w:val="000E0BFC"/>
    <w:rsid w:val="000E1D67"/>
    <w:rsid w:val="000E2A6F"/>
    <w:rsid w:val="000F07CE"/>
    <w:rsid w:val="000F1926"/>
    <w:rsid w:val="000F2978"/>
    <w:rsid w:val="000F5C5F"/>
    <w:rsid w:val="000F6510"/>
    <w:rsid w:val="000F7B23"/>
    <w:rsid w:val="0010272D"/>
    <w:rsid w:val="00105B24"/>
    <w:rsid w:val="00114A6C"/>
    <w:rsid w:val="00114FD8"/>
    <w:rsid w:val="001152D0"/>
    <w:rsid w:val="00115A31"/>
    <w:rsid w:val="0011654C"/>
    <w:rsid w:val="001169B5"/>
    <w:rsid w:val="00120185"/>
    <w:rsid w:val="0012202F"/>
    <w:rsid w:val="00131965"/>
    <w:rsid w:val="0013292A"/>
    <w:rsid w:val="00134D6B"/>
    <w:rsid w:val="00135967"/>
    <w:rsid w:val="001367E8"/>
    <w:rsid w:val="00136E13"/>
    <w:rsid w:val="00146838"/>
    <w:rsid w:val="0014759E"/>
    <w:rsid w:val="0014782D"/>
    <w:rsid w:val="001506B3"/>
    <w:rsid w:val="0015259F"/>
    <w:rsid w:val="00153831"/>
    <w:rsid w:val="001566BF"/>
    <w:rsid w:val="001576E0"/>
    <w:rsid w:val="00160758"/>
    <w:rsid w:val="001611E2"/>
    <w:rsid w:val="0016249F"/>
    <w:rsid w:val="00166056"/>
    <w:rsid w:val="00171107"/>
    <w:rsid w:val="00172A27"/>
    <w:rsid w:val="00172E59"/>
    <w:rsid w:val="0017508A"/>
    <w:rsid w:val="00175484"/>
    <w:rsid w:val="0017550F"/>
    <w:rsid w:val="001775F3"/>
    <w:rsid w:val="001833A3"/>
    <w:rsid w:val="00183D41"/>
    <w:rsid w:val="0018527B"/>
    <w:rsid w:val="0019012B"/>
    <w:rsid w:val="001906E5"/>
    <w:rsid w:val="0019208F"/>
    <w:rsid w:val="0019272B"/>
    <w:rsid w:val="00192969"/>
    <w:rsid w:val="00196100"/>
    <w:rsid w:val="00196169"/>
    <w:rsid w:val="00196BEF"/>
    <w:rsid w:val="001A30AF"/>
    <w:rsid w:val="001A7BB8"/>
    <w:rsid w:val="001B00EE"/>
    <w:rsid w:val="001B5BBD"/>
    <w:rsid w:val="001C5434"/>
    <w:rsid w:val="001C6343"/>
    <w:rsid w:val="001D31FF"/>
    <w:rsid w:val="001D3BE8"/>
    <w:rsid w:val="001D592B"/>
    <w:rsid w:val="001D61E5"/>
    <w:rsid w:val="001D6416"/>
    <w:rsid w:val="001D703C"/>
    <w:rsid w:val="001D7769"/>
    <w:rsid w:val="001E08DD"/>
    <w:rsid w:val="001E0E02"/>
    <w:rsid w:val="001E0F61"/>
    <w:rsid w:val="001E2379"/>
    <w:rsid w:val="001E4691"/>
    <w:rsid w:val="001E7D1D"/>
    <w:rsid w:val="001F15DB"/>
    <w:rsid w:val="001F2584"/>
    <w:rsid w:val="001F28BF"/>
    <w:rsid w:val="001F37A6"/>
    <w:rsid w:val="002023C8"/>
    <w:rsid w:val="00204F1E"/>
    <w:rsid w:val="00206997"/>
    <w:rsid w:val="00206B9C"/>
    <w:rsid w:val="0021372C"/>
    <w:rsid w:val="00213CE9"/>
    <w:rsid w:val="00214D3D"/>
    <w:rsid w:val="00215AEF"/>
    <w:rsid w:val="0021628D"/>
    <w:rsid w:val="00221822"/>
    <w:rsid w:val="00222B44"/>
    <w:rsid w:val="00223188"/>
    <w:rsid w:val="00223EAA"/>
    <w:rsid w:val="002248A0"/>
    <w:rsid w:val="00224D1B"/>
    <w:rsid w:val="0022769B"/>
    <w:rsid w:val="002300C9"/>
    <w:rsid w:val="0023426C"/>
    <w:rsid w:val="002345AD"/>
    <w:rsid w:val="00235578"/>
    <w:rsid w:val="002377DA"/>
    <w:rsid w:val="0024113B"/>
    <w:rsid w:val="00242677"/>
    <w:rsid w:val="002458E9"/>
    <w:rsid w:val="00254D17"/>
    <w:rsid w:val="00260F36"/>
    <w:rsid w:val="00265920"/>
    <w:rsid w:val="00271009"/>
    <w:rsid w:val="00271042"/>
    <w:rsid w:val="00272F3F"/>
    <w:rsid w:val="00274D67"/>
    <w:rsid w:val="00276E9D"/>
    <w:rsid w:val="00282A54"/>
    <w:rsid w:val="00282CCD"/>
    <w:rsid w:val="00282F8E"/>
    <w:rsid w:val="002836F8"/>
    <w:rsid w:val="002840ED"/>
    <w:rsid w:val="00287759"/>
    <w:rsid w:val="00287F13"/>
    <w:rsid w:val="00291850"/>
    <w:rsid w:val="00292CDA"/>
    <w:rsid w:val="00295D0A"/>
    <w:rsid w:val="00297725"/>
    <w:rsid w:val="002A1F3A"/>
    <w:rsid w:val="002A5D45"/>
    <w:rsid w:val="002A724C"/>
    <w:rsid w:val="002A7310"/>
    <w:rsid w:val="002A7AEA"/>
    <w:rsid w:val="002B33A6"/>
    <w:rsid w:val="002B3EE3"/>
    <w:rsid w:val="002B579C"/>
    <w:rsid w:val="002B6345"/>
    <w:rsid w:val="002B7894"/>
    <w:rsid w:val="002C0F29"/>
    <w:rsid w:val="002C2772"/>
    <w:rsid w:val="002C2B7D"/>
    <w:rsid w:val="002C3E54"/>
    <w:rsid w:val="002C43B6"/>
    <w:rsid w:val="002C6C8A"/>
    <w:rsid w:val="002C753A"/>
    <w:rsid w:val="002C7A51"/>
    <w:rsid w:val="002D0C92"/>
    <w:rsid w:val="002D19A1"/>
    <w:rsid w:val="002D3DBE"/>
    <w:rsid w:val="002D42BC"/>
    <w:rsid w:val="002D4C23"/>
    <w:rsid w:val="002D6BE9"/>
    <w:rsid w:val="002D7751"/>
    <w:rsid w:val="002E07C4"/>
    <w:rsid w:val="002E24C6"/>
    <w:rsid w:val="002E398E"/>
    <w:rsid w:val="002E3F44"/>
    <w:rsid w:val="002E49A6"/>
    <w:rsid w:val="002E4BEE"/>
    <w:rsid w:val="002F09E1"/>
    <w:rsid w:val="002F0C7D"/>
    <w:rsid w:val="002F1D5D"/>
    <w:rsid w:val="002F21FA"/>
    <w:rsid w:val="002F2A27"/>
    <w:rsid w:val="003008C5"/>
    <w:rsid w:val="0030126C"/>
    <w:rsid w:val="003023E0"/>
    <w:rsid w:val="00302E06"/>
    <w:rsid w:val="00303996"/>
    <w:rsid w:val="00304A97"/>
    <w:rsid w:val="00304BF6"/>
    <w:rsid w:val="00304D10"/>
    <w:rsid w:val="003050E4"/>
    <w:rsid w:val="00305248"/>
    <w:rsid w:val="00306A66"/>
    <w:rsid w:val="00307058"/>
    <w:rsid w:val="00307C4D"/>
    <w:rsid w:val="00311853"/>
    <w:rsid w:val="003121EC"/>
    <w:rsid w:val="0031265A"/>
    <w:rsid w:val="003171E3"/>
    <w:rsid w:val="00317611"/>
    <w:rsid w:val="00317898"/>
    <w:rsid w:val="00326AA9"/>
    <w:rsid w:val="00327C36"/>
    <w:rsid w:val="00332A10"/>
    <w:rsid w:val="0033425B"/>
    <w:rsid w:val="00337202"/>
    <w:rsid w:val="0034009C"/>
    <w:rsid w:val="00340B62"/>
    <w:rsid w:val="00341304"/>
    <w:rsid w:val="00342A75"/>
    <w:rsid w:val="00343546"/>
    <w:rsid w:val="00343E2D"/>
    <w:rsid w:val="0034504C"/>
    <w:rsid w:val="003470BA"/>
    <w:rsid w:val="00352652"/>
    <w:rsid w:val="0035290B"/>
    <w:rsid w:val="003539FD"/>
    <w:rsid w:val="003567AC"/>
    <w:rsid w:val="00356F86"/>
    <w:rsid w:val="0035753F"/>
    <w:rsid w:val="00357CF6"/>
    <w:rsid w:val="0036040C"/>
    <w:rsid w:val="00361D69"/>
    <w:rsid w:val="00361E1A"/>
    <w:rsid w:val="00362AE7"/>
    <w:rsid w:val="00362EAD"/>
    <w:rsid w:val="0036393F"/>
    <w:rsid w:val="00364666"/>
    <w:rsid w:val="00366C7D"/>
    <w:rsid w:val="00372D86"/>
    <w:rsid w:val="00373319"/>
    <w:rsid w:val="00374685"/>
    <w:rsid w:val="0037491B"/>
    <w:rsid w:val="00384D27"/>
    <w:rsid w:val="003912BA"/>
    <w:rsid w:val="00392203"/>
    <w:rsid w:val="00392A12"/>
    <w:rsid w:val="0039547B"/>
    <w:rsid w:val="00397AEE"/>
    <w:rsid w:val="003A1965"/>
    <w:rsid w:val="003A4D2E"/>
    <w:rsid w:val="003A56F6"/>
    <w:rsid w:val="003A7104"/>
    <w:rsid w:val="003A77AD"/>
    <w:rsid w:val="003A77B5"/>
    <w:rsid w:val="003A7ECA"/>
    <w:rsid w:val="003B0F34"/>
    <w:rsid w:val="003B34C7"/>
    <w:rsid w:val="003B3ED6"/>
    <w:rsid w:val="003B4545"/>
    <w:rsid w:val="003B5F8E"/>
    <w:rsid w:val="003B6981"/>
    <w:rsid w:val="003B7AF4"/>
    <w:rsid w:val="003C1789"/>
    <w:rsid w:val="003C3229"/>
    <w:rsid w:val="003E06D2"/>
    <w:rsid w:val="003E113B"/>
    <w:rsid w:val="003E2230"/>
    <w:rsid w:val="003E37BE"/>
    <w:rsid w:val="003E7224"/>
    <w:rsid w:val="003F448B"/>
    <w:rsid w:val="003F4EE1"/>
    <w:rsid w:val="003F5F6E"/>
    <w:rsid w:val="0040346F"/>
    <w:rsid w:val="00407D3F"/>
    <w:rsid w:val="004117A9"/>
    <w:rsid w:val="0041229B"/>
    <w:rsid w:val="00413058"/>
    <w:rsid w:val="0041358B"/>
    <w:rsid w:val="00413C2E"/>
    <w:rsid w:val="0041605A"/>
    <w:rsid w:val="004168A4"/>
    <w:rsid w:val="004262BB"/>
    <w:rsid w:val="0042660A"/>
    <w:rsid w:val="00430370"/>
    <w:rsid w:val="00433617"/>
    <w:rsid w:val="00434138"/>
    <w:rsid w:val="00437EFA"/>
    <w:rsid w:val="004461FD"/>
    <w:rsid w:val="00451439"/>
    <w:rsid w:val="00453D75"/>
    <w:rsid w:val="00457F0B"/>
    <w:rsid w:val="00461866"/>
    <w:rsid w:val="00461B5F"/>
    <w:rsid w:val="004627F1"/>
    <w:rsid w:val="00463641"/>
    <w:rsid w:val="00463649"/>
    <w:rsid w:val="0046563C"/>
    <w:rsid w:val="00467D91"/>
    <w:rsid w:val="00467FF6"/>
    <w:rsid w:val="004714D9"/>
    <w:rsid w:val="00472254"/>
    <w:rsid w:val="004722CE"/>
    <w:rsid w:val="00472A84"/>
    <w:rsid w:val="0047421E"/>
    <w:rsid w:val="00477202"/>
    <w:rsid w:val="004779C6"/>
    <w:rsid w:val="00481836"/>
    <w:rsid w:val="00485AED"/>
    <w:rsid w:val="00485B7F"/>
    <w:rsid w:val="004870FC"/>
    <w:rsid w:val="00491884"/>
    <w:rsid w:val="00493481"/>
    <w:rsid w:val="00494382"/>
    <w:rsid w:val="0049615D"/>
    <w:rsid w:val="004973F8"/>
    <w:rsid w:val="004A31B9"/>
    <w:rsid w:val="004A3525"/>
    <w:rsid w:val="004A37F6"/>
    <w:rsid w:val="004A3C35"/>
    <w:rsid w:val="004A651F"/>
    <w:rsid w:val="004A659A"/>
    <w:rsid w:val="004A6E2F"/>
    <w:rsid w:val="004B1B22"/>
    <w:rsid w:val="004B201A"/>
    <w:rsid w:val="004B571A"/>
    <w:rsid w:val="004B5F93"/>
    <w:rsid w:val="004B6384"/>
    <w:rsid w:val="004B6549"/>
    <w:rsid w:val="004B6A06"/>
    <w:rsid w:val="004C1BC3"/>
    <w:rsid w:val="004C33DF"/>
    <w:rsid w:val="004C34FC"/>
    <w:rsid w:val="004C564F"/>
    <w:rsid w:val="004C5BB4"/>
    <w:rsid w:val="004C5BD7"/>
    <w:rsid w:val="004C692E"/>
    <w:rsid w:val="004C73B9"/>
    <w:rsid w:val="004D2839"/>
    <w:rsid w:val="004D2EA5"/>
    <w:rsid w:val="004D3368"/>
    <w:rsid w:val="004D4843"/>
    <w:rsid w:val="004D5782"/>
    <w:rsid w:val="004D5861"/>
    <w:rsid w:val="004D58E1"/>
    <w:rsid w:val="004D7FB8"/>
    <w:rsid w:val="004E1799"/>
    <w:rsid w:val="004E2D2E"/>
    <w:rsid w:val="004E6E75"/>
    <w:rsid w:val="004F0300"/>
    <w:rsid w:val="004F0A60"/>
    <w:rsid w:val="004F11F9"/>
    <w:rsid w:val="004F3635"/>
    <w:rsid w:val="004F5B45"/>
    <w:rsid w:val="004F622E"/>
    <w:rsid w:val="00500A77"/>
    <w:rsid w:val="00501367"/>
    <w:rsid w:val="0050226F"/>
    <w:rsid w:val="005026FA"/>
    <w:rsid w:val="00503917"/>
    <w:rsid w:val="0050525C"/>
    <w:rsid w:val="00505289"/>
    <w:rsid w:val="0050691A"/>
    <w:rsid w:val="00506E74"/>
    <w:rsid w:val="00507C36"/>
    <w:rsid w:val="00510269"/>
    <w:rsid w:val="00512E61"/>
    <w:rsid w:val="005138DA"/>
    <w:rsid w:val="0051457C"/>
    <w:rsid w:val="00514A45"/>
    <w:rsid w:val="00515796"/>
    <w:rsid w:val="00524295"/>
    <w:rsid w:val="00524B6C"/>
    <w:rsid w:val="00526EB5"/>
    <w:rsid w:val="0053000A"/>
    <w:rsid w:val="00532C5E"/>
    <w:rsid w:val="00534AAD"/>
    <w:rsid w:val="0054191B"/>
    <w:rsid w:val="00542FC7"/>
    <w:rsid w:val="00544D1C"/>
    <w:rsid w:val="005450D8"/>
    <w:rsid w:val="00546643"/>
    <w:rsid w:val="0055040C"/>
    <w:rsid w:val="005506C5"/>
    <w:rsid w:val="00550AA3"/>
    <w:rsid w:val="0055107C"/>
    <w:rsid w:val="00551A76"/>
    <w:rsid w:val="00553ABE"/>
    <w:rsid w:val="00553FF5"/>
    <w:rsid w:val="00555415"/>
    <w:rsid w:val="00556FDC"/>
    <w:rsid w:val="00557853"/>
    <w:rsid w:val="005607A3"/>
    <w:rsid w:val="005608F5"/>
    <w:rsid w:val="005612E5"/>
    <w:rsid w:val="00566CA1"/>
    <w:rsid w:val="005675A9"/>
    <w:rsid w:val="00567FDC"/>
    <w:rsid w:val="00570BCC"/>
    <w:rsid w:val="0057261D"/>
    <w:rsid w:val="005761B4"/>
    <w:rsid w:val="00580595"/>
    <w:rsid w:val="00584362"/>
    <w:rsid w:val="0058482C"/>
    <w:rsid w:val="00584AD4"/>
    <w:rsid w:val="00586C2C"/>
    <w:rsid w:val="00587C31"/>
    <w:rsid w:val="00591B8A"/>
    <w:rsid w:val="00591E76"/>
    <w:rsid w:val="00591E7E"/>
    <w:rsid w:val="00593927"/>
    <w:rsid w:val="00594CC2"/>
    <w:rsid w:val="00596284"/>
    <w:rsid w:val="005962B2"/>
    <w:rsid w:val="005969F5"/>
    <w:rsid w:val="005A0559"/>
    <w:rsid w:val="005A20B4"/>
    <w:rsid w:val="005A277E"/>
    <w:rsid w:val="005A2FCE"/>
    <w:rsid w:val="005A3323"/>
    <w:rsid w:val="005A3E9D"/>
    <w:rsid w:val="005A44FA"/>
    <w:rsid w:val="005A68C8"/>
    <w:rsid w:val="005A7A83"/>
    <w:rsid w:val="005B19F8"/>
    <w:rsid w:val="005B21A1"/>
    <w:rsid w:val="005B37E1"/>
    <w:rsid w:val="005B5E11"/>
    <w:rsid w:val="005B690A"/>
    <w:rsid w:val="005C08CE"/>
    <w:rsid w:val="005C0DCE"/>
    <w:rsid w:val="005C1508"/>
    <w:rsid w:val="005C4CE0"/>
    <w:rsid w:val="005D01D7"/>
    <w:rsid w:val="005D066A"/>
    <w:rsid w:val="005D141A"/>
    <w:rsid w:val="005D2F37"/>
    <w:rsid w:val="005D39DD"/>
    <w:rsid w:val="005E0AB1"/>
    <w:rsid w:val="005E107D"/>
    <w:rsid w:val="005E12A0"/>
    <w:rsid w:val="005E2283"/>
    <w:rsid w:val="005E2DB1"/>
    <w:rsid w:val="005E3106"/>
    <w:rsid w:val="005E31FF"/>
    <w:rsid w:val="005E4CC6"/>
    <w:rsid w:val="005E60B7"/>
    <w:rsid w:val="005E6D0B"/>
    <w:rsid w:val="005E7BE9"/>
    <w:rsid w:val="005E7E3B"/>
    <w:rsid w:val="005F005B"/>
    <w:rsid w:val="005F39F3"/>
    <w:rsid w:val="005F4AA0"/>
    <w:rsid w:val="005F67F5"/>
    <w:rsid w:val="005F71A2"/>
    <w:rsid w:val="005F7808"/>
    <w:rsid w:val="00604E69"/>
    <w:rsid w:val="006050A5"/>
    <w:rsid w:val="00605741"/>
    <w:rsid w:val="00607A16"/>
    <w:rsid w:val="00610A77"/>
    <w:rsid w:val="00610AC0"/>
    <w:rsid w:val="0061649F"/>
    <w:rsid w:val="00617D8C"/>
    <w:rsid w:val="00620727"/>
    <w:rsid w:val="00622CCD"/>
    <w:rsid w:val="006233E3"/>
    <w:rsid w:val="006268E5"/>
    <w:rsid w:val="00626B22"/>
    <w:rsid w:val="006338BF"/>
    <w:rsid w:val="006345C6"/>
    <w:rsid w:val="00634C49"/>
    <w:rsid w:val="00635911"/>
    <w:rsid w:val="00636DDC"/>
    <w:rsid w:val="00637904"/>
    <w:rsid w:val="00637DFC"/>
    <w:rsid w:val="00644EEA"/>
    <w:rsid w:val="006506F6"/>
    <w:rsid w:val="00651933"/>
    <w:rsid w:val="00652313"/>
    <w:rsid w:val="00652653"/>
    <w:rsid w:val="00653A5D"/>
    <w:rsid w:val="00654DEC"/>
    <w:rsid w:val="006556EE"/>
    <w:rsid w:val="00656EC8"/>
    <w:rsid w:val="0065716B"/>
    <w:rsid w:val="00657FF3"/>
    <w:rsid w:val="00663441"/>
    <w:rsid w:val="00665E63"/>
    <w:rsid w:val="00667FFD"/>
    <w:rsid w:val="006701E4"/>
    <w:rsid w:val="00670943"/>
    <w:rsid w:val="006712D8"/>
    <w:rsid w:val="00673325"/>
    <w:rsid w:val="006761DD"/>
    <w:rsid w:val="00676241"/>
    <w:rsid w:val="00677040"/>
    <w:rsid w:val="00677778"/>
    <w:rsid w:val="006802E3"/>
    <w:rsid w:val="00680D20"/>
    <w:rsid w:val="006814A1"/>
    <w:rsid w:val="0068209C"/>
    <w:rsid w:val="006822CB"/>
    <w:rsid w:val="00684816"/>
    <w:rsid w:val="0069094F"/>
    <w:rsid w:val="006919E7"/>
    <w:rsid w:val="00697230"/>
    <w:rsid w:val="0069756F"/>
    <w:rsid w:val="006A0D56"/>
    <w:rsid w:val="006A3C7B"/>
    <w:rsid w:val="006A491E"/>
    <w:rsid w:val="006A5F03"/>
    <w:rsid w:val="006A7DCE"/>
    <w:rsid w:val="006B5173"/>
    <w:rsid w:val="006B5E2F"/>
    <w:rsid w:val="006B7127"/>
    <w:rsid w:val="006B7541"/>
    <w:rsid w:val="006B7A4A"/>
    <w:rsid w:val="006C2F3A"/>
    <w:rsid w:val="006C2F59"/>
    <w:rsid w:val="006C473F"/>
    <w:rsid w:val="006C5004"/>
    <w:rsid w:val="006D065C"/>
    <w:rsid w:val="006D1955"/>
    <w:rsid w:val="006D1EC8"/>
    <w:rsid w:val="006D34B0"/>
    <w:rsid w:val="006D4714"/>
    <w:rsid w:val="006D4CD9"/>
    <w:rsid w:val="006D68A6"/>
    <w:rsid w:val="006D6907"/>
    <w:rsid w:val="006E022C"/>
    <w:rsid w:val="006E0830"/>
    <w:rsid w:val="006E1A3F"/>
    <w:rsid w:val="006E2C3E"/>
    <w:rsid w:val="006E2CFA"/>
    <w:rsid w:val="006E3457"/>
    <w:rsid w:val="006E661F"/>
    <w:rsid w:val="006F011C"/>
    <w:rsid w:val="006F08E1"/>
    <w:rsid w:val="006F2BA9"/>
    <w:rsid w:val="006F49CD"/>
    <w:rsid w:val="006F6AB6"/>
    <w:rsid w:val="00700AED"/>
    <w:rsid w:val="00701C4D"/>
    <w:rsid w:val="00702472"/>
    <w:rsid w:val="00704330"/>
    <w:rsid w:val="00707D94"/>
    <w:rsid w:val="007108A0"/>
    <w:rsid w:val="00710A11"/>
    <w:rsid w:val="007145E8"/>
    <w:rsid w:val="00714B0F"/>
    <w:rsid w:val="00715830"/>
    <w:rsid w:val="00716134"/>
    <w:rsid w:val="007161BB"/>
    <w:rsid w:val="00720CA9"/>
    <w:rsid w:val="007221BE"/>
    <w:rsid w:val="0072298A"/>
    <w:rsid w:val="00725C7F"/>
    <w:rsid w:val="00725E20"/>
    <w:rsid w:val="00730834"/>
    <w:rsid w:val="00732C3A"/>
    <w:rsid w:val="00740C0E"/>
    <w:rsid w:val="00741691"/>
    <w:rsid w:val="007421B5"/>
    <w:rsid w:val="00744E2E"/>
    <w:rsid w:val="00745EF9"/>
    <w:rsid w:val="00750913"/>
    <w:rsid w:val="00751181"/>
    <w:rsid w:val="007550BE"/>
    <w:rsid w:val="00755249"/>
    <w:rsid w:val="00755CB2"/>
    <w:rsid w:val="00760987"/>
    <w:rsid w:val="00762A3F"/>
    <w:rsid w:val="007638BF"/>
    <w:rsid w:val="00766207"/>
    <w:rsid w:val="00767563"/>
    <w:rsid w:val="00771A46"/>
    <w:rsid w:val="00771ACE"/>
    <w:rsid w:val="0077286F"/>
    <w:rsid w:val="0077663C"/>
    <w:rsid w:val="0078305D"/>
    <w:rsid w:val="00790EF5"/>
    <w:rsid w:val="00795726"/>
    <w:rsid w:val="00797505"/>
    <w:rsid w:val="00797731"/>
    <w:rsid w:val="007A0508"/>
    <w:rsid w:val="007A077F"/>
    <w:rsid w:val="007A113D"/>
    <w:rsid w:val="007A3EE8"/>
    <w:rsid w:val="007A5C8F"/>
    <w:rsid w:val="007A602A"/>
    <w:rsid w:val="007A6480"/>
    <w:rsid w:val="007A7690"/>
    <w:rsid w:val="007B2387"/>
    <w:rsid w:val="007B589F"/>
    <w:rsid w:val="007B5AF9"/>
    <w:rsid w:val="007B6312"/>
    <w:rsid w:val="007B640E"/>
    <w:rsid w:val="007B7D52"/>
    <w:rsid w:val="007C0040"/>
    <w:rsid w:val="007C1DCD"/>
    <w:rsid w:val="007C5543"/>
    <w:rsid w:val="007C5998"/>
    <w:rsid w:val="007C6761"/>
    <w:rsid w:val="007D0077"/>
    <w:rsid w:val="007D4135"/>
    <w:rsid w:val="007D4A42"/>
    <w:rsid w:val="007D4D96"/>
    <w:rsid w:val="007E3275"/>
    <w:rsid w:val="007E3FE0"/>
    <w:rsid w:val="007E43B8"/>
    <w:rsid w:val="007E5723"/>
    <w:rsid w:val="007F02CC"/>
    <w:rsid w:val="007F092E"/>
    <w:rsid w:val="007F1DF7"/>
    <w:rsid w:val="007F229D"/>
    <w:rsid w:val="007F37C3"/>
    <w:rsid w:val="007F48FA"/>
    <w:rsid w:val="007F689F"/>
    <w:rsid w:val="00800641"/>
    <w:rsid w:val="00800898"/>
    <w:rsid w:val="008026B5"/>
    <w:rsid w:val="00802A33"/>
    <w:rsid w:val="008055C9"/>
    <w:rsid w:val="0080563F"/>
    <w:rsid w:val="00810107"/>
    <w:rsid w:val="00810F9C"/>
    <w:rsid w:val="00811DB7"/>
    <w:rsid w:val="00812921"/>
    <w:rsid w:val="008150CC"/>
    <w:rsid w:val="00815201"/>
    <w:rsid w:val="008152C1"/>
    <w:rsid w:val="00816743"/>
    <w:rsid w:val="00817813"/>
    <w:rsid w:val="00817F1E"/>
    <w:rsid w:val="008239EE"/>
    <w:rsid w:val="00827B2B"/>
    <w:rsid w:val="00830F82"/>
    <w:rsid w:val="008336A5"/>
    <w:rsid w:val="00834041"/>
    <w:rsid w:val="008351D4"/>
    <w:rsid w:val="00836DDF"/>
    <w:rsid w:val="00837BB3"/>
    <w:rsid w:val="00840E60"/>
    <w:rsid w:val="00843E85"/>
    <w:rsid w:val="008448D2"/>
    <w:rsid w:val="00845BAA"/>
    <w:rsid w:val="00846778"/>
    <w:rsid w:val="00847458"/>
    <w:rsid w:val="008475FE"/>
    <w:rsid w:val="00850124"/>
    <w:rsid w:val="00850324"/>
    <w:rsid w:val="00850CF3"/>
    <w:rsid w:val="00851932"/>
    <w:rsid w:val="00851DB4"/>
    <w:rsid w:val="008552D6"/>
    <w:rsid w:val="0085540C"/>
    <w:rsid w:val="00855475"/>
    <w:rsid w:val="00856476"/>
    <w:rsid w:val="00865291"/>
    <w:rsid w:val="00865767"/>
    <w:rsid w:val="00866A9C"/>
    <w:rsid w:val="00867087"/>
    <w:rsid w:val="00867728"/>
    <w:rsid w:val="00870EA6"/>
    <w:rsid w:val="00871387"/>
    <w:rsid w:val="0087762B"/>
    <w:rsid w:val="00880310"/>
    <w:rsid w:val="0088232C"/>
    <w:rsid w:val="00884907"/>
    <w:rsid w:val="00885848"/>
    <w:rsid w:val="00887646"/>
    <w:rsid w:val="008905D0"/>
    <w:rsid w:val="00893A04"/>
    <w:rsid w:val="008A3F12"/>
    <w:rsid w:val="008A5662"/>
    <w:rsid w:val="008A6069"/>
    <w:rsid w:val="008B0131"/>
    <w:rsid w:val="008B189E"/>
    <w:rsid w:val="008B4A1E"/>
    <w:rsid w:val="008C0F0A"/>
    <w:rsid w:val="008C37C7"/>
    <w:rsid w:val="008C5763"/>
    <w:rsid w:val="008D0554"/>
    <w:rsid w:val="008D0636"/>
    <w:rsid w:val="008E024D"/>
    <w:rsid w:val="008E1050"/>
    <w:rsid w:val="008E3368"/>
    <w:rsid w:val="008E554D"/>
    <w:rsid w:val="008F0228"/>
    <w:rsid w:val="008F30A0"/>
    <w:rsid w:val="008F430E"/>
    <w:rsid w:val="008F6382"/>
    <w:rsid w:val="008F69DF"/>
    <w:rsid w:val="009012A0"/>
    <w:rsid w:val="00901D38"/>
    <w:rsid w:val="00901E0B"/>
    <w:rsid w:val="00901FD3"/>
    <w:rsid w:val="00905313"/>
    <w:rsid w:val="00905C8E"/>
    <w:rsid w:val="00907912"/>
    <w:rsid w:val="00911178"/>
    <w:rsid w:val="009168E8"/>
    <w:rsid w:val="009169BA"/>
    <w:rsid w:val="00917B30"/>
    <w:rsid w:val="009209C2"/>
    <w:rsid w:val="00921C4B"/>
    <w:rsid w:val="0092348D"/>
    <w:rsid w:val="00923D51"/>
    <w:rsid w:val="009249E2"/>
    <w:rsid w:val="00924DA2"/>
    <w:rsid w:val="00925C91"/>
    <w:rsid w:val="00926DE6"/>
    <w:rsid w:val="0092723D"/>
    <w:rsid w:val="00927BEC"/>
    <w:rsid w:val="00930143"/>
    <w:rsid w:val="00930AF4"/>
    <w:rsid w:val="00931ABC"/>
    <w:rsid w:val="00931E83"/>
    <w:rsid w:val="009339EA"/>
    <w:rsid w:val="00937B64"/>
    <w:rsid w:val="00940BBD"/>
    <w:rsid w:val="009428EA"/>
    <w:rsid w:val="009433C0"/>
    <w:rsid w:val="00943C99"/>
    <w:rsid w:val="00945A19"/>
    <w:rsid w:val="009519D8"/>
    <w:rsid w:val="009561DC"/>
    <w:rsid w:val="00956A78"/>
    <w:rsid w:val="00964D5C"/>
    <w:rsid w:val="00965325"/>
    <w:rsid w:val="0096585F"/>
    <w:rsid w:val="00967DF2"/>
    <w:rsid w:val="00971A19"/>
    <w:rsid w:val="009721E8"/>
    <w:rsid w:val="00975228"/>
    <w:rsid w:val="00975501"/>
    <w:rsid w:val="00976625"/>
    <w:rsid w:val="00976E16"/>
    <w:rsid w:val="00982B26"/>
    <w:rsid w:val="00982E3C"/>
    <w:rsid w:val="00983300"/>
    <w:rsid w:val="0098352F"/>
    <w:rsid w:val="00984745"/>
    <w:rsid w:val="00986B10"/>
    <w:rsid w:val="0099013C"/>
    <w:rsid w:val="0099169B"/>
    <w:rsid w:val="00991DFB"/>
    <w:rsid w:val="00992A99"/>
    <w:rsid w:val="009948D3"/>
    <w:rsid w:val="00995FEB"/>
    <w:rsid w:val="0099738D"/>
    <w:rsid w:val="009A038B"/>
    <w:rsid w:val="009A120A"/>
    <w:rsid w:val="009A13E7"/>
    <w:rsid w:val="009A18D9"/>
    <w:rsid w:val="009A295B"/>
    <w:rsid w:val="009A464A"/>
    <w:rsid w:val="009B01FF"/>
    <w:rsid w:val="009B5DF9"/>
    <w:rsid w:val="009B673D"/>
    <w:rsid w:val="009B6EA0"/>
    <w:rsid w:val="009B7EA3"/>
    <w:rsid w:val="009C02C8"/>
    <w:rsid w:val="009C334C"/>
    <w:rsid w:val="009C3373"/>
    <w:rsid w:val="009C5DB4"/>
    <w:rsid w:val="009D1086"/>
    <w:rsid w:val="009D1FA9"/>
    <w:rsid w:val="009D7BFE"/>
    <w:rsid w:val="009E12E5"/>
    <w:rsid w:val="009E2E83"/>
    <w:rsid w:val="009E52BA"/>
    <w:rsid w:val="009E6B22"/>
    <w:rsid w:val="009F10BE"/>
    <w:rsid w:val="009F110E"/>
    <w:rsid w:val="009F135A"/>
    <w:rsid w:val="009F311A"/>
    <w:rsid w:val="009F6155"/>
    <w:rsid w:val="009F657D"/>
    <w:rsid w:val="009F6CE8"/>
    <w:rsid w:val="009F70CF"/>
    <w:rsid w:val="00A00C26"/>
    <w:rsid w:val="00A0131F"/>
    <w:rsid w:val="00A014FE"/>
    <w:rsid w:val="00A0152F"/>
    <w:rsid w:val="00A01955"/>
    <w:rsid w:val="00A01D15"/>
    <w:rsid w:val="00A0235C"/>
    <w:rsid w:val="00A02ADC"/>
    <w:rsid w:val="00A03676"/>
    <w:rsid w:val="00A03D74"/>
    <w:rsid w:val="00A0536B"/>
    <w:rsid w:val="00A06520"/>
    <w:rsid w:val="00A1443D"/>
    <w:rsid w:val="00A16CD1"/>
    <w:rsid w:val="00A1709C"/>
    <w:rsid w:val="00A21A63"/>
    <w:rsid w:val="00A2257E"/>
    <w:rsid w:val="00A22B9F"/>
    <w:rsid w:val="00A2316D"/>
    <w:rsid w:val="00A23680"/>
    <w:rsid w:val="00A25165"/>
    <w:rsid w:val="00A300F1"/>
    <w:rsid w:val="00A3235D"/>
    <w:rsid w:val="00A425CE"/>
    <w:rsid w:val="00A44344"/>
    <w:rsid w:val="00A4479E"/>
    <w:rsid w:val="00A44844"/>
    <w:rsid w:val="00A457E1"/>
    <w:rsid w:val="00A463B1"/>
    <w:rsid w:val="00A46412"/>
    <w:rsid w:val="00A46B67"/>
    <w:rsid w:val="00A521A1"/>
    <w:rsid w:val="00A530F7"/>
    <w:rsid w:val="00A53E57"/>
    <w:rsid w:val="00A5469E"/>
    <w:rsid w:val="00A54986"/>
    <w:rsid w:val="00A615C9"/>
    <w:rsid w:val="00A6217F"/>
    <w:rsid w:val="00A6262D"/>
    <w:rsid w:val="00A64316"/>
    <w:rsid w:val="00A65DAF"/>
    <w:rsid w:val="00A67178"/>
    <w:rsid w:val="00A722B2"/>
    <w:rsid w:val="00A81D56"/>
    <w:rsid w:val="00A83484"/>
    <w:rsid w:val="00A848FB"/>
    <w:rsid w:val="00A86F92"/>
    <w:rsid w:val="00A872B3"/>
    <w:rsid w:val="00A929D1"/>
    <w:rsid w:val="00A934E8"/>
    <w:rsid w:val="00A94EB0"/>
    <w:rsid w:val="00A97464"/>
    <w:rsid w:val="00A97613"/>
    <w:rsid w:val="00A979A9"/>
    <w:rsid w:val="00AA3B36"/>
    <w:rsid w:val="00AA67DF"/>
    <w:rsid w:val="00AA69E1"/>
    <w:rsid w:val="00AB2C9F"/>
    <w:rsid w:val="00AB404D"/>
    <w:rsid w:val="00AB4501"/>
    <w:rsid w:val="00AB72C7"/>
    <w:rsid w:val="00AC256B"/>
    <w:rsid w:val="00AC7E14"/>
    <w:rsid w:val="00AD37FB"/>
    <w:rsid w:val="00AD4318"/>
    <w:rsid w:val="00AD623C"/>
    <w:rsid w:val="00AE1B2F"/>
    <w:rsid w:val="00AE1E95"/>
    <w:rsid w:val="00AE7BB0"/>
    <w:rsid w:val="00AE7F9A"/>
    <w:rsid w:val="00AF0FCD"/>
    <w:rsid w:val="00AF2897"/>
    <w:rsid w:val="00AF3A4A"/>
    <w:rsid w:val="00AF3E51"/>
    <w:rsid w:val="00AF68A8"/>
    <w:rsid w:val="00AF767B"/>
    <w:rsid w:val="00B03A5C"/>
    <w:rsid w:val="00B0608B"/>
    <w:rsid w:val="00B11FC6"/>
    <w:rsid w:val="00B13C41"/>
    <w:rsid w:val="00B14DAA"/>
    <w:rsid w:val="00B15230"/>
    <w:rsid w:val="00B153BB"/>
    <w:rsid w:val="00B1558D"/>
    <w:rsid w:val="00B173CE"/>
    <w:rsid w:val="00B17627"/>
    <w:rsid w:val="00B17778"/>
    <w:rsid w:val="00B20FAC"/>
    <w:rsid w:val="00B2253F"/>
    <w:rsid w:val="00B22E03"/>
    <w:rsid w:val="00B23ADB"/>
    <w:rsid w:val="00B24D51"/>
    <w:rsid w:val="00B2524E"/>
    <w:rsid w:val="00B30353"/>
    <w:rsid w:val="00B31673"/>
    <w:rsid w:val="00B31F29"/>
    <w:rsid w:val="00B433AF"/>
    <w:rsid w:val="00B4364B"/>
    <w:rsid w:val="00B4373C"/>
    <w:rsid w:val="00B5105A"/>
    <w:rsid w:val="00B52789"/>
    <w:rsid w:val="00B5676B"/>
    <w:rsid w:val="00B6050E"/>
    <w:rsid w:val="00B64E31"/>
    <w:rsid w:val="00B66792"/>
    <w:rsid w:val="00B6702B"/>
    <w:rsid w:val="00B67DF6"/>
    <w:rsid w:val="00B712D0"/>
    <w:rsid w:val="00B73697"/>
    <w:rsid w:val="00B73F44"/>
    <w:rsid w:val="00B74132"/>
    <w:rsid w:val="00B8008B"/>
    <w:rsid w:val="00B807A5"/>
    <w:rsid w:val="00B82D5D"/>
    <w:rsid w:val="00B86372"/>
    <w:rsid w:val="00B867BB"/>
    <w:rsid w:val="00B90EE8"/>
    <w:rsid w:val="00B91A2F"/>
    <w:rsid w:val="00B96DC8"/>
    <w:rsid w:val="00BA14DB"/>
    <w:rsid w:val="00BA1EF5"/>
    <w:rsid w:val="00BA323A"/>
    <w:rsid w:val="00BA4451"/>
    <w:rsid w:val="00BA483B"/>
    <w:rsid w:val="00BA6199"/>
    <w:rsid w:val="00BB0AD6"/>
    <w:rsid w:val="00BB19EC"/>
    <w:rsid w:val="00BB2A01"/>
    <w:rsid w:val="00BB6B7C"/>
    <w:rsid w:val="00BB6F16"/>
    <w:rsid w:val="00BB6F8A"/>
    <w:rsid w:val="00BB76C8"/>
    <w:rsid w:val="00BB773A"/>
    <w:rsid w:val="00BC0479"/>
    <w:rsid w:val="00BC0743"/>
    <w:rsid w:val="00BC18EA"/>
    <w:rsid w:val="00BC3189"/>
    <w:rsid w:val="00BC4090"/>
    <w:rsid w:val="00BC7ECB"/>
    <w:rsid w:val="00BD1BC7"/>
    <w:rsid w:val="00BD2E00"/>
    <w:rsid w:val="00BD4CC5"/>
    <w:rsid w:val="00BE0442"/>
    <w:rsid w:val="00BE1610"/>
    <w:rsid w:val="00BE2DEE"/>
    <w:rsid w:val="00BE361B"/>
    <w:rsid w:val="00BF0717"/>
    <w:rsid w:val="00BF153E"/>
    <w:rsid w:val="00BF17B6"/>
    <w:rsid w:val="00BF1A1A"/>
    <w:rsid w:val="00BF6313"/>
    <w:rsid w:val="00C02E86"/>
    <w:rsid w:val="00C03590"/>
    <w:rsid w:val="00C051F3"/>
    <w:rsid w:val="00C109AD"/>
    <w:rsid w:val="00C1241B"/>
    <w:rsid w:val="00C14311"/>
    <w:rsid w:val="00C14675"/>
    <w:rsid w:val="00C1511F"/>
    <w:rsid w:val="00C1650E"/>
    <w:rsid w:val="00C165F1"/>
    <w:rsid w:val="00C17F8F"/>
    <w:rsid w:val="00C2138F"/>
    <w:rsid w:val="00C22C61"/>
    <w:rsid w:val="00C22E39"/>
    <w:rsid w:val="00C24DC5"/>
    <w:rsid w:val="00C26478"/>
    <w:rsid w:val="00C27065"/>
    <w:rsid w:val="00C315D6"/>
    <w:rsid w:val="00C320A8"/>
    <w:rsid w:val="00C324DD"/>
    <w:rsid w:val="00C32755"/>
    <w:rsid w:val="00C332EE"/>
    <w:rsid w:val="00C34258"/>
    <w:rsid w:val="00C41BCF"/>
    <w:rsid w:val="00C41C94"/>
    <w:rsid w:val="00C42AEA"/>
    <w:rsid w:val="00C43E00"/>
    <w:rsid w:val="00C440BF"/>
    <w:rsid w:val="00C45E68"/>
    <w:rsid w:val="00C47075"/>
    <w:rsid w:val="00C47E8A"/>
    <w:rsid w:val="00C50216"/>
    <w:rsid w:val="00C508B9"/>
    <w:rsid w:val="00C51145"/>
    <w:rsid w:val="00C62139"/>
    <w:rsid w:val="00C6274D"/>
    <w:rsid w:val="00C630BE"/>
    <w:rsid w:val="00C666D3"/>
    <w:rsid w:val="00C67767"/>
    <w:rsid w:val="00C707CE"/>
    <w:rsid w:val="00C738F9"/>
    <w:rsid w:val="00C75C18"/>
    <w:rsid w:val="00C767B1"/>
    <w:rsid w:val="00C76E57"/>
    <w:rsid w:val="00C82CAA"/>
    <w:rsid w:val="00C8656E"/>
    <w:rsid w:val="00C875A1"/>
    <w:rsid w:val="00C91A00"/>
    <w:rsid w:val="00C95809"/>
    <w:rsid w:val="00C9716A"/>
    <w:rsid w:val="00C9719D"/>
    <w:rsid w:val="00CA02BA"/>
    <w:rsid w:val="00CA10F0"/>
    <w:rsid w:val="00CA74FB"/>
    <w:rsid w:val="00CB26B2"/>
    <w:rsid w:val="00CB289F"/>
    <w:rsid w:val="00CB5EC9"/>
    <w:rsid w:val="00CB6386"/>
    <w:rsid w:val="00CB6A54"/>
    <w:rsid w:val="00CB6BA0"/>
    <w:rsid w:val="00CC1670"/>
    <w:rsid w:val="00CC3C05"/>
    <w:rsid w:val="00CC74FE"/>
    <w:rsid w:val="00CC792F"/>
    <w:rsid w:val="00CD19DF"/>
    <w:rsid w:val="00CD2E36"/>
    <w:rsid w:val="00CD4CD6"/>
    <w:rsid w:val="00CD5035"/>
    <w:rsid w:val="00CD5A77"/>
    <w:rsid w:val="00CD6629"/>
    <w:rsid w:val="00CE33FD"/>
    <w:rsid w:val="00CE4A12"/>
    <w:rsid w:val="00CE4CA3"/>
    <w:rsid w:val="00CE551E"/>
    <w:rsid w:val="00CE5C9A"/>
    <w:rsid w:val="00CE5F6D"/>
    <w:rsid w:val="00CE6205"/>
    <w:rsid w:val="00CF09BB"/>
    <w:rsid w:val="00CF1E03"/>
    <w:rsid w:val="00CF7276"/>
    <w:rsid w:val="00D0168D"/>
    <w:rsid w:val="00D04EFE"/>
    <w:rsid w:val="00D06CBD"/>
    <w:rsid w:val="00D06FFF"/>
    <w:rsid w:val="00D11AC3"/>
    <w:rsid w:val="00D15E31"/>
    <w:rsid w:val="00D23EB7"/>
    <w:rsid w:val="00D27108"/>
    <w:rsid w:val="00D27E16"/>
    <w:rsid w:val="00D30CAC"/>
    <w:rsid w:val="00D321E0"/>
    <w:rsid w:val="00D32456"/>
    <w:rsid w:val="00D33B5C"/>
    <w:rsid w:val="00D35F45"/>
    <w:rsid w:val="00D421E3"/>
    <w:rsid w:val="00D5005B"/>
    <w:rsid w:val="00D5037E"/>
    <w:rsid w:val="00D51D18"/>
    <w:rsid w:val="00D56405"/>
    <w:rsid w:val="00D5694C"/>
    <w:rsid w:val="00D60584"/>
    <w:rsid w:val="00D62762"/>
    <w:rsid w:val="00D6379B"/>
    <w:rsid w:val="00D644EC"/>
    <w:rsid w:val="00D662D7"/>
    <w:rsid w:val="00D67256"/>
    <w:rsid w:val="00D67261"/>
    <w:rsid w:val="00D74227"/>
    <w:rsid w:val="00D74284"/>
    <w:rsid w:val="00D77659"/>
    <w:rsid w:val="00D80300"/>
    <w:rsid w:val="00D8111E"/>
    <w:rsid w:val="00D81526"/>
    <w:rsid w:val="00D81CBF"/>
    <w:rsid w:val="00D8243B"/>
    <w:rsid w:val="00D83805"/>
    <w:rsid w:val="00D84A6A"/>
    <w:rsid w:val="00D854F8"/>
    <w:rsid w:val="00D93DAE"/>
    <w:rsid w:val="00D96C0B"/>
    <w:rsid w:val="00D9785B"/>
    <w:rsid w:val="00DA0BB0"/>
    <w:rsid w:val="00DA0CEE"/>
    <w:rsid w:val="00DA10F0"/>
    <w:rsid w:val="00DA1234"/>
    <w:rsid w:val="00DA254E"/>
    <w:rsid w:val="00DA2C47"/>
    <w:rsid w:val="00DA2E92"/>
    <w:rsid w:val="00DA45B4"/>
    <w:rsid w:val="00DA48ED"/>
    <w:rsid w:val="00DA5A1C"/>
    <w:rsid w:val="00DB3DD4"/>
    <w:rsid w:val="00DB4CA7"/>
    <w:rsid w:val="00DB54AB"/>
    <w:rsid w:val="00DC3D8C"/>
    <w:rsid w:val="00DC7628"/>
    <w:rsid w:val="00DD0A86"/>
    <w:rsid w:val="00DD3A5E"/>
    <w:rsid w:val="00DD3FCD"/>
    <w:rsid w:val="00DD5932"/>
    <w:rsid w:val="00DD6CF9"/>
    <w:rsid w:val="00DE0079"/>
    <w:rsid w:val="00DE196E"/>
    <w:rsid w:val="00DE36CA"/>
    <w:rsid w:val="00DE3BFC"/>
    <w:rsid w:val="00DE7E8F"/>
    <w:rsid w:val="00DE7FF1"/>
    <w:rsid w:val="00DF0AB5"/>
    <w:rsid w:val="00DF0B7F"/>
    <w:rsid w:val="00DF1716"/>
    <w:rsid w:val="00DF1758"/>
    <w:rsid w:val="00DF3DE4"/>
    <w:rsid w:val="00E004DA"/>
    <w:rsid w:val="00E00572"/>
    <w:rsid w:val="00E01424"/>
    <w:rsid w:val="00E01ECF"/>
    <w:rsid w:val="00E02065"/>
    <w:rsid w:val="00E05DB8"/>
    <w:rsid w:val="00E05F0F"/>
    <w:rsid w:val="00E06E51"/>
    <w:rsid w:val="00E06F71"/>
    <w:rsid w:val="00E119D6"/>
    <w:rsid w:val="00E1242F"/>
    <w:rsid w:val="00E138B7"/>
    <w:rsid w:val="00E1394F"/>
    <w:rsid w:val="00E142A1"/>
    <w:rsid w:val="00E147E4"/>
    <w:rsid w:val="00E15492"/>
    <w:rsid w:val="00E15F2E"/>
    <w:rsid w:val="00E162BC"/>
    <w:rsid w:val="00E17C9C"/>
    <w:rsid w:val="00E2213B"/>
    <w:rsid w:val="00E22AE5"/>
    <w:rsid w:val="00E22BEA"/>
    <w:rsid w:val="00E25B55"/>
    <w:rsid w:val="00E26A3E"/>
    <w:rsid w:val="00E26DA4"/>
    <w:rsid w:val="00E2792D"/>
    <w:rsid w:val="00E332FF"/>
    <w:rsid w:val="00E45E6F"/>
    <w:rsid w:val="00E5020F"/>
    <w:rsid w:val="00E508DF"/>
    <w:rsid w:val="00E529CF"/>
    <w:rsid w:val="00E538E6"/>
    <w:rsid w:val="00E63F79"/>
    <w:rsid w:val="00E64AA1"/>
    <w:rsid w:val="00E66BE5"/>
    <w:rsid w:val="00E715A8"/>
    <w:rsid w:val="00E719F5"/>
    <w:rsid w:val="00E74D33"/>
    <w:rsid w:val="00E760C7"/>
    <w:rsid w:val="00E82F12"/>
    <w:rsid w:val="00E82F9D"/>
    <w:rsid w:val="00E86E46"/>
    <w:rsid w:val="00E926FD"/>
    <w:rsid w:val="00E96A4C"/>
    <w:rsid w:val="00E970BD"/>
    <w:rsid w:val="00EA0532"/>
    <w:rsid w:val="00EA08C2"/>
    <w:rsid w:val="00EA0C10"/>
    <w:rsid w:val="00EA3EBB"/>
    <w:rsid w:val="00EA5674"/>
    <w:rsid w:val="00EA68B7"/>
    <w:rsid w:val="00EA698E"/>
    <w:rsid w:val="00EA6F54"/>
    <w:rsid w:val="00EB18D5"/>
    <w:rsid w:val="00EB3862"/>
    <w:rsid w:val="00EB653E"/>
    <w:rsid w:val="00EB772C"/>
    <w:rsid w:val="00EC08AB"/>
    <w:rsid w:val="00EC1B1F"/>
    <w:rsid w:val="00EC2C48"/>
    <w:rsid w:val="00EC3AFF"/>
    <w:rsid w:val="00EC49E6"/>
    <w:rsid w:val="00EC5143"/>
    <w:rsid w:val="00EC5FC6"/>
    <w:rsid w:val="00EC7C76"/>
    <w:rsid w:val="00ED0B2B"/>
    <w:rsid w:val="00ED0B61"/>
    <w:rsid w:val="00ED20B4"/>
    <w:rsid w:val="00ED3D54"/>
    <w:rsid w:val="00ED5BD0"/>
    <w:rsid w:val="00ED5CFF"/>
    <w:rsid w:val="00ED5E7A"/>
    <w:rsid w:val="00ED6C80"/>
    <w:rsid w:val="00ED71B0"/>
    <w:rsid w:val="00ED79F8"/>
    <w:rsid w:val="00EE174F"/>
    <w:rsid w:val="00EE2151"/>
    <w:rsid w:val="00EE28FC"/>
    <w:rsid w:val="00EE64F3"/>
    <w:rsid w:val="00EE6A1A"/>
    <w:rsid w:val="00EE750F"/>
    <w:rsid w:val="00EF1482"/>
    <w:rsid w:val="00EF25AC"/>
    <w:rsid w:val="00EF263E"/>
    <w:rsid w:val="00EF4D5B"/>
    <w:rsid w:val="00EF5B0C"/>
    <w:rsid w:val="00F00DC4"/>
    <w:rsid w:val="00F01DF9"/>
    <w:rsid w:val="00F02F07"/>
    <w:rsid w:val="00F056DC"/>
    <w:rsid w:val="00F11F91"/>
    <w:rsid w:val="00F1304C"/>
    <w:rsid w:val="00F1439E"/>
    <w:rsid w:val="00F14875"/>
    <w:rsid w:val="00F23772"/>
    <w:rsid w:val="00F23C58"/>
    <w:rsid w:val="00F25AE3"/>
    <w:rsid w:val="00F2795B"/>
    <w:rsid w:val="00F33C48"/>
    <w:rsid w:val="00F356F0"/>
    <w:rsid w:val="00F367B1"/>
    <w:rsid w:val="00F36F47"/>
    <w:rsid w:val="00F37561"/>
    <w:rsid w:val="00F42F36"/>
    <w:rsid w:val="00F43758"/>
    <w:rsid w:val="00F4588D"/>
    <w:rsid w:val="00F47FF1"/>
    <w:rsid w:val="00F5035C"/>
    <w:rsid w:val="00F50B7C"/>
    <w:rsid w:val="00F50F97"/>
    <w:rsid w:val="00F51027"/>
    <w:rsid w:val="00F51817"/>
    <w:rsid w:val="00F531C4"/>
    <w:rsid w:val="00F533B4"/>
    <w:rsid w:val="00F53D01"/>
    <w:rsid w:val="00F545F8"/>
    <w:rsid w:val="00F5494B"/>
    <w:rsid w:val="00F55897"/>
    <w:rsid w:val="00F55F7B"/>
    <w:rsid w:val="00F561F5"/>
    <w:rsid w:val="00F57BF2"/>
    <w:rsid w:val="00F62395"/>
    <w:rsid w:val="00F623D6"/>
    <w:rsid w:val="00F62586"/>
    <w:rsid w:val="00F718B1"/>
    <w:rsid w:val="00F71BEF"/>
    <w:rsid w:val="00F775F1"/>
    <w:rsid w:val="00F77958"/>
    <w:rsid w:val="00F8095A"/>
    <w:rsid w:val="00F8343C"/>
    <w:rsid w:val="00F83EA4"/>
    <w:rsid w:val="00F8591A"/>
    <w:rsid w:val="00F86538"/>
    <w:rsid w:val="00F94D06"/>
    <w:rsid w:val="00F94F04"/>
    <w:rsid w:val="00F9519B"/>
    <w:rsid w:val="00F952C2"/>
    <w:rsid w:val="00F971AA"/>
    <w:rsid w:val="00FA087F"/>
    <w:rsid w:val="00FA1C95"/>
    <w:rsid w:val="00FA6DF1"/>
    <w:rsid w:val="00FB0949"/>
    <w:rsid w:val="00FB1148"/>
    <w:rsid w:val="00FB69B8"/>
    <w:rsid w:val="00FB7CB5"/>
    <w:rsid w:val="00FC7D42"/>
    <w:rsid w:val="00FD0B0C"/>
    <w:rsid w:val="00FD1C85"/>
    <w:rsid w:val="00FD2FF9"/>
    <w:rsid w:val="00FD3183"/>
    <w:rsid w:val="00FD412E"/>
    <w:rsid w:val="00FD58BD"/>
    <w:rsid w:val="00FD639A"/>
    <w:rsid w:val="00FD65F4"/>
    <w:rsid w:val="00FD70B2"/>
    <w:rsid w:val="00FD7FC7"/>
    <w:rsid w:val="00FE3020"/>
    <w:rsid w:val="00FE380E"/>
    <w:rsid w:val="00FE474D"/>
    <w:rsid w:val="00FE4C25"/>
    <w:rsid w:val="00FE4D19"/>
    <w:rsid w:val="00FE6309"/>
    <w:rsid w:val="00FE7CCF"/>
    <w:rsid w:val="00FF3DEA"/>
    <w:rsid w:val="01AE6D90"/>
    <w:rsid w:val="01BD2C8C"/>
    <w:rsid w:val="025202F4"/>
    <w:rsid w:val="02645B64"/>
    <w:rsid w:val="03666A32"/>
    <w:rsid w:val="048A4459"/>
    <w:rsid w:val="048A6AF9"/>
    <w:rsid w:val="04D7184E"/>
    <w:rsid w:val="054C135F"/>
    <w:rsid w:val="05931BB1"/>
    <w:rsid w:val="05A1149B"/>
    <w:rsid w:val="05EF7684"/>
    <w:rsid w:val="060A3054"/>
    <w:rsid w:val="07057895"/>
    <w:rsid w:val="076563B8"/>
    <w:rsid w:val="07914971"/>
    <w:rsid w:val="087B75DA"/>
    <w:rsid w:val="088014E3"/>
    <w:rsid w:val="09771898"/>
    <w:rsid w:val="09AA31FE"/>
    <w:rsid w:val="09BB5CF7"/>
    <w:rsid w:val="0A420E06"/>
    <w:rsid w:val="0A78387A"/>
    <w:rsid w:val="0AFB3FE2"/>
    <w:rsid w:val="0B71015C"/>
    <w:rsid w:val="0B737B2D"/>
    <w:rsid w:val="0BF54D3B"/>
    <w:rsid w:val="0BFF58F9"/>
    <w:rsid w:val="0C0B0E5D"/>
    <w:rsid w:val="0C287647"/>
    <w:rsid w:val="0C757125"/>
    <w:rsid w:val="0C9F6891"/>
    <w:rsid w:val="0CB14567"/>
    <w:rsid w:val="0CE911F7"/>
    <w:rsid w:val="0D1863C6"/>
    <w:rsid w:val="0D1E12CB"/>
    <w:rsid w:val="0E5E336F"/>
    <w:rsid w:val="0F802CDE"/>
    <w:rsid w:val="0F975F9B"/>
    <w:rsid w:val="0FDE12D1"/>
    <w:rsid w:val="10014494"/>
    <w:rsid w:val="10AE6987"/>
    <w:rsid w:val="10DA2640"/>
    <w:rsid w:val="11424FFF"/>
    <w:rsid w:val="114E63CC"/>
    <w:rsid w:val="11AF3A10"/>
    <w:rsid w:val="11F765B6"/>
    <w:rsid w:val="121C232F"/>
    <w:rsid w:val="124F3ED1"/>
    <w:rsid w:val="12607288"/>
    <w:rsid w:val="128F30C1"/>
    <w:rsid w:val="12F63E2E"/>
    <w:rsid w:val="137F1949"/>
    <w:rsid w:val="138C7384"/>
    <w:rsid w:val="13AE6DFE"/>
    <w:rsid w:val="13C57655"/>
    <w:rsid w:val="141753B0"/>
    <w:rsid w:val="14D93A7E"/>
    <w:rsid w:val="15BF11E2"/>
    <w:rsid w:val="16834866"/>
    <w:rsid w:val="16B163AB"/>
    <w:rsid w:val="17341031"/>
    <w:rsid w:val="179F36D8"/>
    <w:rsid w:val="18D7771F"/>
    <w:rsid w:val="18F31A63"/>
    <w:rsid w:val="1A083E52"/>
    <w:rsid w:val="1A9C046E"/>
    <w:rsid w:val="1AA91D2F"/>
    <w:rsid w:val="1AC05483"/>
    <w:rsid w:val="1AC14A37"/>
    <w:rsid w:val="1B5218AC"/>
    <w:rsid w:val="1B592BF7"/>
    <w:rsid w:val="1BB65D61"/>
    <w:rsid w:val="1BEE6B94"/>
    <w:rsid w:val="1D474A3D"/>
    <w:rsid w:val="1E4A0FC1"/>
    <w:rsid w:val="1E701201"/>
    <w:rsid w:val="1ED7175C"/>
    <w:rsid w:val="200F4175"/>
    <w:rsid w:val="2025125D"/>
    <w:rsid w:val="205D5159"/>
    <w:rsid w:val="20B171B2"/>
    <w:rsid w:val="20BC6007"/>
    <w:rsid w:val="20C611F4"/>
    <w:rsid w:val="22B91B55"/>
    <w:rsid w:val="22C55578"/>
    <w:rsid w:val="233455E9"/>
    <w:rsid w:val="234737DA"/>
    <w:rsid w:val="236D0585"/>
    <w:rsid w:val="23926885"/>
    <w:rsid w:val="24083D2E"/>
    <w:rsid w:val="243D4F5D"/>
    <w:rsid w:val="24DE47AD"/>
    <w:rsid w:val="251D2489"/>
    <w:rsid w:val="25293CC2"/>
    <w:rsid w:val="252C04A1"/>
    <w:rsid w:val="252D0046"/>
    <w:rsid w:val="25C519E5"/>
    <w:rsid w:val="26460D5D"/>
    <w:rsid w:val="267E5703"/>
    <w:rsid w:val="26E42EA9"/>
    <w:rsid w:val="272C7BF9"/>
    <w:rsid w:val="27DF7879"/>
    <w:rsid w:val="280E49D9"/>
    <w:rsid w:val="28915D49"/>
    <w:rsid w:val="294E5D62"/>
    <w:rsid w:val="295A6668"/>
    <w:rsid w:val="29AE00F8"/>
    <w:rsid w:val="2A3D603E"/>
    <w:rsid w:val="2A691684"/>
    <w:rsid w:val="2AF449FA"/>
    <w:rsid w:val="2B170E04"/>
    <w:rsid w:val="2B29105F"/>
    <w:rsid w:val="2B5076E5"/>
    <w:rsid w:val="2C614371"/>
    <w:rsid w:val="2C967E12"/>
    <w:rsid w:val="2CB17934"/>
    <w:rsid w:val="2D350FA2"/>
    <w:rsid w:val="2D362A98"/>
    <w:rsid w:val="2D474D3D"/>
    <w:rsid w:val="2D8E579D"/>
    <w:rsid w:val="2DC30D18"/>
    <w:rsid w:val="2E8C5242"/>
    <w:rsid w:val="2F055F97"/>
    <w:rsid w:val="2F5371E3"/>
    <w:rsid w:val="2FCF2BE1"/>
    <w:rsid w:val="31427EE0"/>
    <w:rsid w:val="31CF2177"/>
    <w:rsid w:val="31E962CE"/>
    <w:rsid w:val="31EF7B6D"/>
    <w:rsid w:val="324D5FF3"/>
    <w:rsid w:val="324E341D"/>
    <w:rsid w:val="328040B5"/>
    <w:rsid w:val="32951A8C"/>
    <w:rsid w:val="32B25D17"/>
    <w:rsid w:val="32BC0A66"/>
    <w:rsid w:val="33071C3C"/>
    <w:rsid w:val="3321671D"/>
    <w:rsid w:val="33234D51"/>
    <w:rsid w:val="35191989"/>
    <w:rsid w:val="355063FE"/>
    <w:rsid w:val="355A2A82"/>
    <w:rsid w:val="357C2C04"/>
    <w:rsid w:val="35D86E29"/>
    <w:rsid w:val="35DF4402"/>
    <w:rsid w:val="360E42A1"/>
    <w:rsid w:val="366A578F"/>
    <w:rsid w:val="36B33B2E"/>
    <w:rsid w:val="36CF5459"/>
    <w:rsid w:val="37156206"/>
    <w:rsid w:val="382F3BFC"/>
    <w:rsid w:val="385507B2"/>
    <w:rsid w:val="388A1D5A"/>
    <w:rsid w:val="389A1EB0"/>
    <w:rsid w:val="38D67FEA"/>
    <w:rsid w:val="399C2294"/>
    <w:rsid w:val="39C91A8E"/>
    <w:rsid w:val="3A0B6B07"/>
    <w:rsid w:val="3A426882"/>
    <w:rsid w:val="3A517DEA"/>
    <w:rsid w:val="3AC865AA"/>
    <w:rsid w:val="3B1A5F88"/>
    <w:rsid w:val="3B6B6C3C"/>
    <w:rsid w:val="3BDA6A79"/>
    <w:rsid w:val="3C02155C"/>
    <w:rsid w:val="3C8B11AC"/>
    <w:rsid w:val="3C9A77EC"/>
    <w:rsid w:val="3CB77EE1"/>
    <w:rsid w:val="3CF257BE"/>
    <w:rsid w:val="3D0E12B2"/>
    <w:rsid w:val="3D1A211A"/>
    <w:rsid w:val="3DF75F84"/>
    <w:rsid w:val="3E68560A"/>
    <w:rsid w:val="3EB831A1"/>
    <w:rsid w:val="3F050AC1"/>
    <w:rsid w:val="3F9A4222"/>
    <w:rsid w:val="3FA62849"/>
    <w:rsid w:val="3FAC0B7E"/>
    <w:rsid w:val="4000781E"/>
    <w:rsid w:val="404861CA"/>
    <w:rsid w:val="408E315A"/>
    <w:rsid w:val="40AC6C9A"/>
    <w:rsid w:val="40C07D17"/>
    <w:rsid w:val="40DC60F9"/>
    <w:rsid w:val="422C6733"/>
    <w:rsid w:val="430C63DD"/>
    <w:rsid w:val="43904414"/>
    <w:rsid w:val="43D7193D"/>
    <w:rsid w:val="442941C6"/>
    <w:rsid w:val="445A6440"/>
    <w:rsid w:val="44724A3C"/>
    <w:rsid w:val="447720BC"/>
    <w:rsid w:val="45006437"/>
    <w:rsid w:val="45696E8F"/>
    <w:rsid w:val="456B496B"/>
    <w:rsid w:val="45802779"/>
    <w:rsid w:val="47210619"/>
    <w:rsid w:val="477D0034"/>
    <w:rsid w:val="47876DFD"/>
    <w:rsid w:val="47F54B2F"/>
    <w:rsid w:val="481E7234"/>
    <w:rsid w:val="482D5B5E"/>
    <w:rsid w:val="48FB5C41"/>
    <w:rsid w:val="49660C7B"/>
    <w:rsid w:val="49DF696D"/>
    <w:rsid w:val="4A1A076E"/>
    <w:rsid w:val="4A5C670B"/>
    <w:rsid w:val="4A8911EC"/>
    <w:rsid w:val="4A9733B4"/>
    <w:rsid w:val="4AE34DC3"/>
    <w:rsid w:val="4AE67E22"/>
    <w:rsid w:val="4AF47043"/>
    <w:rsid w:val="4B8C2B6D"/>
    <w:rsid w:val="4BD12831"/>
    <w:rsid w:val="4BD87959"/>
    <w:rsid w:val="4C1478E6"/>
    <w:rsid w:val="4C2068A5"/>
    <w:rsid w:val="4C7B5B36"/>
    <w:rsid w:val="4CEB40F1"/>
    <w:rsid w:val="4DA22579"/>
    <w:rsid w:val="4E3A4AF8"/>
    <w:rsid w:val="4EA72C05"/>
    <w:rsid w:val="4ED777B6"/>
    <w:rsid w:val="4F267EE6"/>
    <w:rsid w:val="4F791325"/>
    <w:rsid w:val="4F807F1B"/>
    <w:rsid w:val="4FFD79DB"/>
    <w:rsid w:val="50F64E15"/>
    <w:rsid w:val="512C01BE"/>
    <w:rsid w:val="518E0241"/>
    <w:rsid w:val="51C26FF5"/>
    <w:rsid w:val="51F03E9C"/>
    <w:rsid w:val="530C0291"/>
    <w:rsid w:val="53D8390A"/>
    <w:rsid w:val="540A75AB"/>
    <w:rsid w:val="543227D1"/>
    <w:rsid w:val="543D0CF7"/>
    <w:rsid w:val="543E4065"/>
    <w:rsid w:val="54513991"/>
    <w:rsid w:val="548736E2"/>
    <w:rsid w:val="548F040D"/>
    <w:rsid w:val="54E14DB5"/>
    <w:rsid w:val="555261BB"/>
    <w:rsid w:val="55802ABE"/>
    <w:rsid w:val="55D93CD2"/>
    <w:rsid w:val="561B0385"/>
    <w:rsid w:val="56417517"/>
    <w:rsid w:val="56A567E3"/>
    <w:rsid w:val="57B443C6"/>
    <w:rsid w:val="583361E4"/>
    <w:rsid w:val="59360482"/>
    <w:rsid w:val="595A12EB"/>
    <w:rsid w:val="59771682"/>
    <w:rsid w:val="59C37BF4"/>
    <w:rsid w:val="59F1469D"/>
    <w:rsid w:val="5A6D7256"/>
    <w:rsid w:val="5A7820F1"/>
    <w:rsid w:val="5ACD2C01"/>
    <w:rsid w:val="5B660CC8"/>
    <w:rsid w:val="5B69104B"/>
    <w:rsid w:val="5BC506E5"/>
    <w:rsid w:val="5BCC5A4B"/>
    <w:rsid w:val="5C105D33"/>
    <w:rsid w:val="5C585F86"/>
    <w:rsid w:val="5C646270"/>
    <w:rsid w:val="5CF83CE0"/>
    <w:rsid w:val="5D1C76E6"/>
    <w:rsid w:val="5D284706"/>
    <w:rsid w:val="5D2A0D4B"/>
    <w:rsid w:val="5D3828B3"/>
    <w:rsid w:val="5DBF7E95"/>
    <w:rsid w:val="5DEF434A"/>
    <w:rsid w:val="5DF63183"/>
    <w:rsid w:val="5EC77955"/>
    <w:rsid w:val="5EFC1767"/>
    <w:rsid w:val="5F2F6F1E"/>
    <w:rsid w:val="5F3C46FF"/>
    <w:rsid w:val="5F4C3EFC"/>
    <w:rsid w:val="5F6B66F7"/>
    <w:rsid w:val="5F9149D0"/>
    <w:rsid w:val="60210D09"/>
    <w:rsid w:val="604C5E37"/>
    <w:rsid w:val="608069A5"/>
    <w:rsid w:val="60930BD5"/>
    <w:rsid w:val="614536C5"/>
    <w:rsid w:val="6149698D"/>
    <w:rsid w:val="61595357"/>
    <w:rsid w:val="6174111D"/>
    <w:rsid w:val="61B5492D"/>
    <w:rsid w:val="6268525C"/>
    <w:rsid w:val="62DE0F56"/>
    <w:rsid w:val="62F54DDD"/>
    <w:rsid w:val="633323CF"/>
    <w:rsid w:val="6359752F"/>
    <w:rsid w:val="64266483"/>
    <w:rsid w:val="644B793C"/>
    <w:rsid w:val="64631D51"/>
    <w:rsid w:val="64A67694"/>
    <w:rsid w:val="65DA227D"/>
    <w:rsid w:val="65DB5DF1"/>
    <w:rsid w:val="66852606"/>
    <w:rsid w:val="676C13A8"/>
    <w:rsid w:val="67AE4C9F"/>
    <w:rsid w:val="6808356E"/>
    <w:rsid w:val="6846056B"/>
    <w:rsid w:val="68BE084E"/>
    <w:rsid w:val="68E41C07"/>
    <w:rsid w:val="69DF5FFB"/>
    <w:rsid w:val="6A0655B2"/>
    <w:rsid w:val="6A174B1A"/>
    <w:rsid w:val="6A6F65DE"/>
    <w:rsid w:val="6A797AEF"/>
    <w:rsid w:val="6A7E398F"/>
    <w:rsid w:val="6A8D7000"/>
    <w:rsid w:val="6AC926A6"/>
    <w:rsid w:val="6ACA65F5"/>
    <w:rsid w:val="6AE26214"/>
    <w:rsid w:val="6B186D46"/>
    <w:rsid w:val="6B8C3DAB"/>
    <w:rsid w:val="6BA720E7"/>
    <w:rsid w:val="6C7E6CAE"/>
    <w:rsid w:val="6C8B6626"/>
    <w:rsid w:val="6CEF7EBA"/>
    <w:rsid w:val="6E101464"/>
    <w:rsid w:val="6F1F65DF"/>
    <w:rsid w:val="6F6636AF"/>
    <w:rsid w:val="6F780C4F"/>
    <w:rsid w:val="6F9435D2"/>
    <w:rsid w:val="6FFD274A"/>
    <w:rsid w:val="701972BB"/>
    <w:rsid w:val="70807E7A"/>
    <w:rsid w:val="70936213"/>
    <w:rsid w:val="71160FE0"/>
    <w:rsid w:val="71B264AF"/>
    <w:rsid w:val="71B52858"/>
    <w:rsid w:val="721B2244"/>
    <w:rsid w:val="72D41012"/>
    <w:rsid w:val="72D677AE"/>
    <w:rsid w:val="737663A7"/>
    <w:rsid w:val="73CF1AF8"/>
    <w:rsid w:val="74345382"/>
    <w:rsid w:val="749A028C"/>
    <w:rsid w:val="75801B21"/>
    <w:rsid w:val="75C85476"/>
    <w:rsid w:val="76047185"/>
    <w:rsid w:val="76F676E6"/>
    <w:rsid w:val="76FC2312"/>
    <w:rsid w:val="779B2719"/>
    <w:rsid w:val="77FA7C17"/>
    <w:rsid w:val="7851629A"/>
    <w:rsid w:val="78BF0B64"/>
    <w:rsid w:val="790B4BE4"/>
    <w:rsid w:val="79255E17"/>
    <w:rsid w:val="79345DAA"/>
    <w:rsid w:val="798706A2"/>
    <w:rsid w:val="79AB0C10"/>
    <w:rsid w:val="7AE16775"/>
    <w:rsid w:val="7B044346"/>
    <w:rsid w:val="7BDB11D4"/>
    <w:rsid w:val="7BF00107"/>
    <w:rsid w:val="7C230E7C"/>
    <w:rsid w:val="7CFB22E8"/>
    <w:rsid w:val="7D383402"/>
    <w:rsid w:val="7E0E73A1"/>
    <w:rsid w:val="7F3E0A1F"/>
    <w:rsid w:val="7F695A73"/>
    <w:rsid w:val="7F89716F"/>
    <w:rsid w:val="7FA430DB"/>
    <w:rsid w:val="7FBF2C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9"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HTML Preformatted" w:semiHidden="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E68"/>
    <w:pPr>
      <w:widowControl w:val="0"/>
      <w:jc w:val="both"/>
    </w:pPr>
    <w:rPr>
      <w:kern w:val="2"/>
      <w:sz w:val="21"/>
      <w:szCs w:val="22"/>
    </w:rPr>
  </w:style>
  <w:style w:type="paragraph" w:styleId="1">
    <w:name w:val="heading 1"/>
    <w:next w:val="a"/>
    <w:uiPriority w:val="9"/>
    <w:qFormat/>
    <w:rsid w:val="00C45E68"/>
    <w:pPr>
      <w:spacing w:beforeLines="100" w:line="460" w:lineRule="exact"/>
      <w:ind w:firstLineChars="200" w:firstLine="200"/>
      <w:outlineLvl w:val="0"/>
    </w:pPr>
    <w:rPr>
      <w:rFonts w:ascii="Times New Roman" w:eastAsia="微软雅黑" w:hAnsi="Times New Roman" w:cs="Times New Roman" w:hint="eastAsia"/>
      <w:b/>
      <w:color w:val="000000" w:themeColor="text1"/>
      <w:kern w:val="44"/>
      <w:sz w:val="21"/>
      <w:szCs w:val="48"/>
    </w:rPr>
  </w:style>
  <w:style w:type="paragraph" w:styleId="2">
    <w:name w:val="heading 2"/>
    <w:basedOn w:val="a"/>
    <w:next w:val="a"/>
    <w:link w:val="2Char"/>
    <w:uiPriority w:val="9"/>
    <w:unhideWhenUsed/>
    <w:qFormat/>
    <w:rsid w:val="00C45E6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semiHidden/>
    <w:unhideWhenUsed/>
    <w:qFormat/>
    <w:rsid w:val="00C45E68"/>
    <w:pPr>
      <w:spacing w:beforeAutospacing="1" w:afterAutospacing="1"/>
      <w:jc w:val="left"/>
      <w:outlineLvl w:val="2"/>
    </w:pPr>
    <w:rPr>
      <w:rFonts w:ascii="宋体" w:eastAsia="宋体" w:hAnsi="宋体" w:cs="Times New Roman" w:hint="eastAsia"/>
      <w:b/>
      <w:kern w:val="0"/>
      <w:sz w:val="27"/>
      <w:szCs w:val="27"/>
    </w:rPr>
  </w:style>
  <w:style w:type="paragraph" w:styleId="4">
    <w:name w:val="heading 4"/>
    <w:basedOn w:val="a"/>
    <w:next w:val="a"/>
    <w:link w:val="4Char"/>
    <w:uiPriority w:val="9"/>
    <w:qFormat/>
    <w:rsid w:val="00C45E68"/>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C45E68"/>
    <w:rPr>
      <w:rFonts w:ascii="宋体" w:hAnsi="Courier New" w:hint="eastAsia"/>
    </w:rPr>
  </w:style>
  <w:style w:type="paragraph" w:styleId="a4">
    <w:name w:val="Date"/>
    <w:basedOn w:val="a"/>
    <w:next w:val="a"/>
    <w:link w:val="Char"/>
    <w:uiPriority w:val="99"/>
    <w:unhideWhenUsed/>
    <w:qFormat/>
    <w:rsid w:val="00C45E68"/>
    <w:pPr>
      <w:ind w:leftChars="2500" w:left="100"/>
    </w:pPr>
  </w:style>
  <w:style w:type="paragraph" w:styleId="a5">
    <w:name w:val="Balloon Text"/>
    <w:basedOn w:val="a"/>
    <w:link w:val="Char0"/>
    <w:uiPriority w:val="99"/>
    <w:unhideWhenUsed/>
    <w:qFormat/>
    <w:rsid w:val="00C45E68"/>
    <w:rPr>
      <w:sz w:val="18"/>
      <w:szCs w:val="18"/>
    </w:rPr>
  </w:style>
  <w:style w:type="paragraph" w:styleId="a6">
    <w:name w:val="footer"/>
    <w:basedOn w:val="a"/>
    <w:link w:val="Char1"/>
    <w:uiPriority w:val="99"/>
    <w:unhideWhenUsed/>
    <w:qFormat/>
    <w:rsid w:val="00C45E68"/>
    <w:pPr>
      <w:tabs>
        <w:tab w:val="center" w:pos="4153"/>
        <w:tab w:val="right" w:pos="8306"/>
      </w:tabs>
      <w:snapToGrid w:val="0"/>
      <w:jc w:val="left"/>
    </w:pPr>
    <w:rPr>
      <w:sz w:val="18"/>
      <w:szCs w:val="18"/>
    </w:rPr>
  </w:style>
  <w:style w:type="paragraph" w:styleId="a7">
    <w:name w:val="header"/>
    <w:basedOn w:val="a"/>
    <w:uiPriority w:val="99"/>
    <w:unhideWhenUsed/>
    <w:qFormat/>
    <w:rsid w:val="00C45E68"/>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C45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8">
    <w:name w:val="Normal (Web)"/>
    <w:basedOn w:val="a"/>
    <w:uiPriority w:val="99"/>
    <w:unhideWhenUsed/>
    <w:qFormat/>
    <w:rsid w:val="00C45E68"/>
    <w:pPr>
      <w:widowControl/>
      <w:spacing w:before="100" w:beforeAutospacing="1" w:after="100" w:afterAutospacing="1"/>
      <w:jc w:val="left"/>
    </w:pPr>
    <w:rPr>
      <w:rFonts w:ascii="宋体" w:eastAsia="宋体" w:hAnsi="宋体" w:cs="宋体"/>
      <w:kern w:val="0"/>
      <w:sz w:val="24"/>
      <w:szCs w:val="24"/>
    </w:rPr>
  </w:style>
  <w:style w:type="paragraph" w:styleId="a9">
    <w:name w:val="Title"/>
    <w:basedOn w:val="a"/>
    <w:next w:val="a"/>
    <w:link w:val="Char2"/>
    <w:uiPriority w:val="10"/>
    <w:qFormat/>
    <w:rsid w:val="00C45E68"/>
    <w:pPr>
      <w:spacing w:before="240" w:after="60"/>
      <w:jc w:val="center"/>
      <w:outlineLvl w:val="0"/>
    </w:pPr>
    <w:rPr>
      <w:rFonts w:asciiTheme="majorHAnsi" w:eastAsiaTheme="majorEastAsia" w:hAnsiTheme="majorHAnsi" w:cstheme="majorBidi"/>
      <w:b/>
      <w:bCs/>
      <w:sz w:val="32"/>
      <w:szCs w:val="32"/>
    </w:rPr>
  </w:style>
  <w:style w:type="character" w:styleId="aa">
    <w:name w:val="Strong"/>
    <w:basedOn w:val="a0"/>
    <w:uiPriority w:val="22"/>
    <w:qFormat/>
    <w:rsid w:val="00C45E68"/>
    <w:rPr>
      <w:b/>
      <w:bCs/>
    </w:rPr>
  </w:style>
  <w:style w:type="character" w:styleId="ab">
    <w:name w:val="page number"/>
    <w:basedOn w:val="a0"/>
    <w:uiPriority w:val="99"/>
    <w:semiHidden/>
    <w:unhideWhenUsed/>
    <w:qFormat/>
    <w:rsid w:val="00C45E68"/>
  </w:style>
  <w:style w:type="character" w:styleId="ac">
    <w:name w:val="FollowedHyperlink"/>
    <w:basedOn w:val="a0"/>
    <w:uiPriority w:val="99"/>
    <w:unhideWhenUsed/>
    <w:qFormat/>
    <w:rsid w:val="00C45E68"/>
    <w:rPr>
      <w:color w:val="800080" w:themeColor="followedHyperlink"/>
      <w:u w:val="single"/>
    </w:rPr>
  </w:style>
  <w:style w:type="character" w:styleId="ad">
    <w:name w:val="Emphasis"/>
    <w:basedOn w:val="a0"/>
    <w:uiPriority w:val="20"/>
    <w:qFormat/>
    <w:rsid w:val="00C45E68"/>
    <w:rPr>
      <w:i/>
      <w:iCs/>
    </w:rPr>
  </w:style>
  <w:style w:type="character" w:styleId="ae">
    <w:name w:val="Hyperlink"/>
    <w:basedOn w:val="a0"/>
    <w:uiPriority w:val="99"/>
    <w:unhideWhenUsed/>
    <w:qFormat/>
    <w:rsid w:val="00C45E68"/>
    <w:rPr>
      <w:color w:val="0000FF" w:themeColor="hyperlink"/>
      <w:u w:val="single"/>
    </w:rPr>
  </w:style>
  <w:style w:type="character" w:customStyle="1" w:styleId="Char0">
    <w:name w:val="批注框文本 Char"/>
    <w:basedOn w:val="a0"/>
    <w:link w:val="a5"/>
    <w:uiPriority w:val="99"/>
    <w:semiHidden/>
    <w:qFormat/>
    <w:rsid w:val="00C45E68"/>
    <w:rPr>
      <w:sz w:val="18"/>
      <w:szCs w:val="18"/>
    </w:rPr>
  </w:style>
  <w:style w:type="character" w:customStyle="1" w:styleId="Char1">
    <w:name w:val="页脚 Char"/>
    <w:basedOn w:val="a0"/>
    <w:link w:val="a6"/>
    <w:uiPriority w:val="99"/>
    <w:qFormat/>
    <w:rsid w:val="00C45E68"/>
    <w:rPr>
      <w:rFonts w:asciiTheme="minorHAnsi" w:eastAsiaTheme="minorEastAsia" w:hAnsiTheme="minorHAnsi" w:cstheme="minorBidi"/>
      <w:kern w:val="2"/>
      <w:sz w:val="18"/>
      <w:szCs w:val="18"/>
    </w:rPr>
  </w:style>
  <w:style w:type="paragraph" w:customStyle="1" w:styleId="Style2">
    <w:name w:val="_Style 2"/>
    <w:basedOn w:val="a"/>
    <w:uiPriority w:val="34"/>
    <w:qFormat/>
    <w:rsid w:val="00C45E68"/>
    <w:pPr>
      <w:ind w:firstLineChars="200" w:firstLine="420"/>
    </w:pPr>
  </w:style>
  <w:style w:type="paragraph" w:customStyle="1" w:styleId="20">
    <w:name w:val="列出段落2"/>
    <w:basedOn w:val="a"/>
    <w:qFormat/>
    <w:rsid w:val="00C45E68"/>
    <w:pPr>
      <w:ind w:firstLineChars="200" w:firstLine="420"/>
    </w:pPr>
    <w:rPr>
      <w:rFonts w:ascii="Times New Roman" w:eastAsia="宋体" w:hAnsi="Times New Roman" w:cs="Times New Roman"/>
      <w:szCs w:val="24"/>
    </w:rPr>
  </w:style>
  <w:style w:type="paragraph" w:customStyle="1" w:styleId="10">
    <w:name w:val="列出段落1"/>
    <w:basedOn w:val="a"/>
    <w:uiPriority w:val="34"/>
    <w:qFormat/>
    <w:rsid w:val="00C45E68"/>
    <w:pPr>
      <w:ind w:firstLineChars="200" w:firstLine="420"/>
    </w:pPr>
  </w:style>
  <w:style w:type="paragraph" w:customStyle="1" w:styleId="30">
    <w:name w:val="列出段落3"/>
    <w:basedOn w:val="a"/>
    <w:uiPriority w:val="99"/>
    <w:unhideWhenUsed/>
    <w:qFormat/>
    <w:rsid w:val="00C45E68"/>
    <w:pPr>
      <w:ind w:firstLineChars="200" w:firstLine="420"/>
    </w:pPr>
  </w:style>
  <w:style w:type="paragraph" w:customStyle="1" w:styleId="Default">
    <w:name w:val="Default"/>
    <w:qFormat/>
    <w:rsid w:val="00C45E68"/>
    <w:pPr>
      <w:autoSpaceDE w:val="0"/>
      <w:autoSpaceDN w:val="0"/>
      <w:adjustRightInd w:val="0"/>
    </w:pPr>
    <w:rPr>
      <w:rFonts w:ascii="微软雅黑" w:eastAsia="微软雅黑" w:hAnsi="Times New Roman" w:cs="微软雅黑"/>
      <w:color w:val="000000"/>
      <w:sz w:val="24"/>
      <w:szCs w:val="24"/>
    </w:rPr>
  </w:style>
  <w:style w:type="character" w:customStyle="1" w:styleId="HTMLChar">
    <w:name w:val="HTML 预设格式 Char"/>
    <w:basedOn w:val="a0"/>
    <w:link w:val="HTML"/>
    <w:uiPriority w:val="99"/>
    <w:qFormat/>
    <w:rsid w:val="00C45E68"/>
    <w:rPr>
      <w:rFonts w:ascii="宋体" w:hAnsi="宋体"/>
      <w:sz w:val="24"/>
      <w:szCs w:val="24"/>
    </w:rPr>
  </w:style>
  <w:style w:type="paragraph" w:customStyle="1" w:styleId="40">
    <w:name w:val="列出段落4"/>
    <w:basedOn w:val="a"/>
    <w:uiPriority w:val="99"/>
    <w:unhideWhenUsed/>
    <w:qFormat/>
    <w:rsid w:val="00C45E68"/>
    <w:pPr>
      <w:ind w:firstLineChars="200" w:firstLine="420"/>
    </w:pPr>
  </w:style>
  <w:style w:type="paragraph" w:customStyle="1" w:styleId="71">
    <w:name w:val="列出段落71"/>
    <w:basedOn w:val="a"/>
    <w:qFormat/>
    <w:rsid w:val="00C45E68"/>
    <w:pPr>
      <w:widowControl/>
      <w:ind w:firstLineChars="200" w:firstLine="420"/>
    </w:pPr>
    <w:rPr>
      <w:rFonts w:ascii="Times New Roman" w:hAnsi="Times New Roman"/>
    </w:rPr>
  </w:style>
  <w:style w:type="character" w:customStyle="1" w:styleId="11">
    <w:name w:val="未处理的提及1"/>
    <w:basedOn w:val="a0"/>
    <w:uiPriority w:val="99"/>
    <w:unhideWhenUsed/>
    <w:qFormat/>
    <w:rsid w:val="00C45E68"/>
    <w:rPr>
      <w:color w:val="808080"/>
      <w:shd w:val="clear" w:color="auto" w:fill="E6E6E6"/>
    </w:rPr>
  </w:style>
  <w:style w:type="character" w:customStyle="1" w:styleId="21">
    <w:name w:val="未处理的提及2"/>
    <w:basedOn w:val="a0"/>
    <w:uiPriority w:val="99"/>
    <w:unhideWhenUsed/>
    <w:qFormat/>
    <w:rsid w:val="00C45E68"/>
    <w:rPr>
      <w:color w:val="808080"/>
      <w:shd w:val="clear" w:color="auto" w:fill="E6E6E6"/>
    </w:rPr>
  </w:style>
  <w:style w:type="paragraph" w:customStyle="1" w:styleId="crw">
    <w:name w:val="crw标题"/>
    <w:next w:val="a"/>
    <w:link w:val="crw0"/>
    <w:qFormat/>
    <w:rsid w:val="00C45E68"/>
    <w:pPr>
      <w:spacing w:line="380" w:lineRule="exact"/>
      <w:outlineLvl w:val="0"/>
    </w:pPr>
    <w:rPr>
      <w:rFonts w:ascii="微软雅黑" w:eastAsia="微软雅黑" w:cs="微软雅黑"/>
      <w:b/>
      <w:color w:val="000000" w:themeColor="text1"/>
      <w:sz w:val="30"/>
      <w:szCs w:val="30"/>
    </w:rPr>
  </w:style>
  <w:style w:type="character" w:customStyle="1" w:styleId="crw0">
    <w:name w:val="crw标题 字符"/>
    <w:basedOn w:val="a0"/>
    <w:link w:val="crw"/>
    <w:qFormat/>
    <w:rsid w:val="00C45E68"/>
    <w:rPr>
      <w:rFonts w:ascii="微软雅黑" w:eastAsia="微软雅黑" w:hAnsiTheme="minorHAnsi" w:cs="微软雅黑"/>
      <w:b/>
      <w:color w:val="000000" w:themeColor="text1"/>
      <w:sz w:val="30"/>
      <w:szCs w:val="30"/>
    </w:rPr>
  </w:style>
  <w:style w:type="paragraph" w:customStyle="1" w:styleId="crw1">
    <w:name w:val="crw正文"/>
    <w:next w:val="a"/>
    <w:link w:val="crw2"/>
    <w:qFormat/>
    <w:rsid w:val="00C45E68"/>
    <w:pPr>
      <w:widowControl w:val="0"/>
      <w:spacing w:line="460" w:lineRule="exact"/>
      <w:ind w:firstLineChars="200" w:firstLine="200"/>
      <w:jc w:val="both"/>
    </w:pPr>
    <w:rPr>
      <w:rFonts w:ascii="微软雅黑" w:eastAsia="微软雅黑" w:hAnsi="Times New Roman"/>
      <w:color w:val="000000" w:themeColor="text1"/>
      <w:kern w:val="21"/>
      <w:sz w:val="21"/>
      <w:szCs w:val="21"/>
    </w:rPr>
  </w:style>
  <w:style w:type="paragraph" w:customStyle="1" w:styleId="crw3">
    <w:name w:val="crw说明"/>
    <w:next w:val="Default"/>
    <w:link w:val="crw4"/>
    <w:qFormat/>
    <w:rsid w:val="00C45E68"/>
    <w:pPr>
      <w:widowControl w:val="0"/>
      <w:spacing w:beforeLines="100" w:afterLines="100" w:line="380" w:lineRule="exact"/>
    </w:pPr>
    <w:rPr>
      <w:rFonts w:ascii="微软雅黑" w:eastAsia="微软雅黑" w:hAnsi="Times New Roman" w:cs="宋体"/>
      <w:bCs/>
      <w:color w:val="632423" w:themeColor="accent2" w:themeShade="80"/>
      <w:kern w:val="2"/>
      <w:sz w:val="21"/>
      <w:szCs w:val="22"/>
    </w:rPr>
  </w:style>
  <w:style w:type="character" w:customStyle="1" w:styleId="crw2">
    <w:name w:val="crw正文 字符"/>
    <w:basedOn w:val="a0"/>
    <w:link w:val="crw1"/>
    <w:qFormat/>
    <w:rsid w:val="00C45E68"/>
    <w:rPr>
      <w:rFonts w:ascii="微软雅黑" w:eastAsia="微软雅黑" w:cstheme="minorBidi"/>
      <w:color w:val="000000" w:themeColor="text1"/>
      <w:kern w:val="21"/>
      <w:sz w:val="21"/>
      <w:szCs w:val="21"/>
    </w:rPr>
  </w:style>
  <w:style w:type="character" w:customStyle="1" w:styleId="crw4">
    <w:name w:val="crw说明 字符"/>
    <w:basedOn w:val="a0"/>
    <w:link w:val="crw3"/>
    <w:qFormat/>
    <w:rsid w:val="00C45E68"/>
    <w:rPr>
      <w:rFonts w:ascii="微软雅黑" w:eastAsia="微软雅黑" w:cs="宋体"/>
      <w:bCs/>
      <w:color w:val="632423" w:themeColor="accent2" w:themeShade="80"/>
      <w:kern w:val="2"/>
      <w:sz w:val="21"/>
      <w:szCs w:val="22"/>
    </w:rPr>
  </w:style>
  <w:style w:type="character" w:customStyle="1" w:styleId="31">
    <w:name w:val="未处理的提及3"/>
    <w:basedOn w:val="a0"/>
    <w:uiPriority w:val="99"/>
    <w:unhideWhenUsed/>
    <w:qFormat/>
    <w:rsid w:val="00C45E68"/>
    <w:rPr>
      <w:color w:val="808080"/>
      <w:shd w:val="clear" w:color="auto" w:fill="E6E6E6"/>
    </w:rPr>
  </w:style>
  <w:style w:type="character" w:customStyle="1" w:styleId="41">
    <w:name w:val="未处理的提及4"/>
    <w:basedOn w:val="a0"/>
    <w:uiPriority w:val="99"/>
    <w:unhideWhenUsed/>
    <w:qFormat/>
    <w:rsid w:val="00C45E68"/>
    <w:rPr>
      <w:color w:val="808080"/>
      <w:shd w:val="clear" w:color="auto" w:fill="E6E6E6"/>
    </w:rPr>
  </w:style>
  <w:style w:type="character" w:customStyle="1" w:styleId="4Char">
    <w:name w:val="标题 4 Char"/>
    <w:basedOn w:val="a0"/>
    <w:link w:val="4"/>
    <w:uiPriority w:val="9"/>
    <w:qFormat/>
    <w:rsid w:val="00C45E68"/>
    <w:rPr>
      <w:rFonts w:ascii="宋体" w:hAnsi="宋体" w:cs="宋体"/>
      <w:b/>
      <w:bCs/>
      <w:sz w:val="24"/>
      <w:szCs w:val="24"/>
    </w:rPr>
  </w:style>
  <w:style w:type="character" w:customStyle="1" w:styleId="2Char">
    <w:name w:val="标题 2 Char"/>
    <w:basedOn w:val="a0"/>
    <w:link w:val="2"/>
    <w:uiPriority w:val="9"/>
    <w:qFormat/>
    <w:rsid w:val="00C45E68"/>
    <w:rPr>
      <w:rFonts w:asciiTheme="majorHAnsi" w:eastAsiaTheme="majorEastAsia" w:hAnsiTheme="majorHAnsi" w:cstheme="majorBidi"/>
      <w:b/>
      <w:bCs/>
      <w:kern w:val="2"/>
      <w:sz w:val="32"/>
      <w:szCs w:val="32"/>
    </w:rPr>
  </w:style>
  <w:style w:type="character" w:customStyle="1" w:styleId="Char">
    <w:name w:val="日期 Char"/>
    <w:basedOn w:val="a0"/>
    <w:link w:val="a4"/>
    <w:uiPriority w:val="99"/>
    <w:semiHidden/>
    <w:qFormat/>
    <w:rsid w:val="00C45E68"/>
    <w:rPr>
      <w:rFonts w:asciiTheme="minorHAnsi" w:eastAsiaTheme="minorEastAsia" w:hAnsiTheme="minorHAnsi" w:cstheme="minorBidi"/>
      <w:kern w:val="2"/>
      <w:sz w:val="21"/>
      <w:szCs w:val="22"/>
    </w:rPr>
  </w:style>
  <w:style w:type="character" w:customStyle="1" w:styleId="5">
    <w:name w:val="未处理的提及5"/>
    <w:basedOn w:val="a0"/>
    <w:uiPriority w:val="99"/>
    <w:unhideWhenUsed/>
    <w:qFormat/>
    <w:rsid w:val="00C45E68"/>
    <w:rPr>
      <w:color w:val="808080"/>
      <w:shd w:val="clear" w:color="auto" w:fill="E6E6E6"/>
    </w:rPr>
  </w:style>
  <w:style w:type="character" w:customStyle="1" w:styleId="6">
    <w:name w:val="未处理的提及6"/>
    <w:basedOn w:val="a0"/>
    <w:uiPriority w:val="99"/>
    <w:semiHidden/>
    <w:unhideWhenUsed/>
    <w:qFormat/>
    <w:rsid w:val="00C45E68"/>
    <w:rPr>
      <w:color w:val="808080"/>
      <w:shd w:val="clear" w:color="auto" w:fill="E6E6E6"/>
    </w:rPr>
  </w:style>
  <w:style w:type="character" w:customStyle="1" w:styleId="7">
    <w:name w:val="未处理的提及7"/>
    <w:basedOn w:val="a0"/>
    <w:uiPriority w:val="99"/>
    <w:semiHidden/>
    <w:unhideWhenUsed/>
    <w:qFormat/>
    <w:rsid w:val="00C45E68"/>
    <w:rPr>
      <w:color w:val="808080"/>
      <w:shd w:val="clear" w:color="auto" w:fill="E6E6E6"/>
    </w:rPr>
  </w:style>
  <w:style w:type="character" w:customStyle="1" w:styleId="8">
    <w:name w:val="未处理的提及8"/>
    <w:basedOn w:val="a0"/>
    <w:uiPriority w:val="99"/>
    <w:semiHidden/>
    <w:unhideWhenUsed/>
    <w:qFormat/>
    <w:rsid w:val="00C45E68"/>
    <w:rPr>
      <w:color w:val="808080"/>
      <w:shd w:val="clear" w:color="auto" w:fill="E6E6E6"/>
    </w:rPr>
  </w:style>
  <w:style w:type="paragraph" w:styleId="af">
    <w:name w:val="List Paragraph"/>
    <w:basedOn w:val="a"/>
    <w:uiPriority w:val="99"/>
    <w:qFormat/>
    <w:rsid w:val="00C45E68"/>
    <w:pPr>
      <w:ind w:firstLineChars="200" w:firstLine="420"/>
    </w:pPr>
  </w:style>
  <w:style w:type="character" w:customStyle="1" w:styleId="datestamp">
    <w:name w:val="datestamp"/>
    <w:basedOn w:val="a0"/>
    <w:qFormat/>
    <w:rsid w:val="00C45E68"/>
  </w:style>
  <w:style w:type="character" w:customStyle="1" w:styleId="contributor">
    <w:name w:val="contributor"/>
    <w:basedOn w:val="a0"/>
    <w:qFormat/>
    <w:rsid w:val="00C45E68"/>
  </w:style>
  <w:style w:type="character" w:customStyle="1" w:styleId="publication">
    <w:name w:val="publication"/>
    <w:basedOn w:val="a0"/>
    <w:qFormat/>
    <w:rsid w:val="00C45E68"/>
  </w:style>
  <w:style w:type="character" w:customStyle="1" w:styleId="lineage-item">
    <w:name w:val="lineage-item"/>
    <w:basedOn w:val="a0"/>
    <w:qFormat/>
    <w:rsid w:val="00C45E68"/>
  </w:style>
  <w:style w:type="character" w:customStyle="1" w:styleId="a2alabel">
    <w:name w:val="a2a_label"/>
    <w:basedOn w:val="a0"/>
    <w:qFormat/>
    <w:rsid w:val="00C45E68"/>
  </w:style>
  <w:style w:type="character" w:customStyle="1" w:styleId="9">
    <w:name w:val="未处理的提及9"/>
    <w:basedOn w:val="a0"/>
    <w:uiPriority w:val="99"/>
    <w:semiHidden/>
    <w:unhideWhenUsed/>
    <w:qFormat/>
    <w:rsid w:val="00C45E68"/>
    <w:rPr>
      <w:color w:val="605E5C"/>
      <w:shd w:val="clear" w:color="auto" w:fill="E1DFDD"/>
    </w:rPr>
  </w:style>
  <w:style w:type="paragraph" w:customStyle="1" w:styleId="crw5">
    <w:name w:val="crw图示"/>
    <w:basedOn w:val="a"/>
    <w:qFormat/>
    <w:rsid w:val="00C45E68"/>
    <w:pPr>
      <w:jc w:val="center"/>
    </w:pPr>
    <w:rPr>
      <w:sz w:val="18"/>
    </w:rPr>
  </w:style>
  <w:style w:type="character" w:customStyle="1" w:styleId="Char2">
    <w:name w:val="标题 Char"/>
    <w:basedOn w:val="a0"/>
    <w:link w:val="a9"/>
    <w:uiPriority w:val="10"/>
    <w:qFormat/>
    <w:rsid w:val="00C45E68"/>
    <w:rPr>
      <w:rFonts w:asciiTheme="majorHAnsi" w:eastAsiaTheme="majorEastAsia" w:hAnsiTheme="majorHAnsi" w:cstheme="majorBidi"/>
      <w:b/>
      <w:bCs/>
      <w:kern w:val="2"/>
      <w:sz w:val="32"/>
      <w:szCs w:val="32"/>
    </w:rPr>
  </w:style>
  <w:style w:type="paragraph" w:customStyle="1" w:styleId="af0">
    <w:name w:val="周刊正文"/>
    <w:basedOn w:val="a"/>
    <w:link w:val="af1"/>
    <w:qFormat/>
    <w:rsid w:val="00C45E68"/>
    <w:pPr>
      <w:autoSpaceDE w:val="0"/>
      <w:autoSpaceDN w:val="0"/>
      <w:adjustRightInd w:val="0"/>
      <w:spacing w:line="460" w:lineRule="exact"/>
      <w:ind w:firstLineChars="200" w:firstLine="420"/>
    </w:pPr>
    <w:rPr>
      <w:rFonts w:ascii="微软雅黑" w:eastAsia="微软雅黑" w:hAnsi="微软雅黑"/>
      <w:color w:val="000000" w:themeColor="text1"/>
      <w:szCs w:val="21"/>
    </w:rPr>
  </w:style>
  <w:style w:type="character" w:customStyle="1" w:styleId="af1">
    <w:name w:val="周刊正文 字符"/>
    <w:basedOn w:val="a0"/>
    <w:link w:val="af0"/>
    <w:qFormat/>
    <w:rsid w:val="00C45E68"/>
    <w:rPr>
      <w:rFonts w:ascii="微软雅黑" w:eastAsia="微软雅黑" w:hAnsi="微软雅黑"/>
      <w:color w:val="000000" w:themeColor="text1"/>
      <w:szCs w:val="21"/>
    </w:rPr>
  </w:style>
  <w:style w:type="character" w:customStyle="1" w:styleId="UnresolvedMention">
    <w:name w:val="Unresolved Mention"/>
    <w:basedOn w:val="a0"/>
    <w:uiPriority w:val="99"/>
    <w:semiHidden/>
    <w:unhideWhenUsed/>
    <w:qFormat/>
    <w:rsid w:val="00C45E6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F:\zhangchi\&#23439;&#35266;&#23395;&#24230;&#25253;&#21578;\&#23395;&#24230;&#65306;GDP&#21644;&#24037;&#19994;&#22686;&#21152;&#20540;&#65288;2003q1&#22987;&#6528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zhangchi\&#23439;&#35266;&#23395;&#24230;&#25253;&#21578;\&#23395;&#24230;&#65306;&#20215;&#26684;&#25351;&#25968;.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zhangchi\&#23439;&#35266;&#23395;&#24230;&#25253;&#21578;\&#23395;&#24230;&#65306;&#22266;&#23450;&#36164;&#20135;&#25237;&#36164;&#21644;&#28040;&#36153;&#21697;&#38646;&#21806;&#3906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zhangchi\&#23439;&#35266;&#23395;&#24230;&#25253;&#21578;\&#23395;&#24230;&#65306;&#36827;&#20986;&#21475;&#19982;&#36152;&#26131;&#39034;&#2404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200" b="0" i="0" u="none" strike="noStrike" baseline="0">
                <a:solidFill>
                  <a:srgbClr val="000000"/>
                </a:solidFill>
                <a:latin typeface="宋体" panose="02010600030101010101" charset="-122"/>
                <a:ea typeface="宋体" panose="02010600030101010101" charset="-122"/>
              </a:rPr>
              <a:t>GDP及规模以上工业增加值单季同比增长率（%）</a:t>
            </a:r>
          </a:p>
        </c:rich>
      </c:tx>
      <c:layout>
        <c:manualLayout>
          <c:xMode val="edge"/>
          <c:yMode val="edge"/>
          <c:x val="0.14876048081538529"/>
          <c:y val="3.7931034482758738E-2"/>
        </c:manualLayout>
      </c:layout>
      <c:spPr>
        <a:noFill/>
        <a:ln w="25400">
          <a:noFill/>
        </a:ln>
      </c:spPr>
    </c:title>
    <c:plotArea>
      <c:layout>
        <c:manualLayout>
          <c:layoutTarget val="inner"/>
          <c:xMode val="edge"/>
          <c:yMode val="edge"/>
          <c:x val="9.2975300409289391E-2"/>
          <c:y val="0.20689655172413801"/>
          <c:w val="0.85537276376545857"/>
          <c:h val="0.44482758620689722"/>
        </c:manualLayout>
      </c:layout>
      <c:lineChart>
        <c:grouping val="standard"/>
        <c:ser>
          <c:idx val="0"/>
          <c:order val="0"/>
          <c:tx>
            <c:strRef>
              <c:f>GDP</c:f>
              <c:strCache>
                <c:ptCount val="1"/>
                <c:pt idx="0">
                  <c:v>GDP</c:v>
                </c:pt>
              </c:strCache>
            </c:strRef>
          </c:tx>
          <c:spPr>
            <a:ln w="12700" cap="rnd" cmpd="sng" algn="ctr">
              <a:solidFill>
                <a:srgbClr val="000080"/>
              </a:solidFill>
              <a:prstDash val="solid"/>
              <a:round/>
            </a:ln>
          </c:spPr>
          <c:marker>
            <c:symbol val="diamond"/>
            <c:size val="5"/>
            <c:spPr>
              <a:solidFill>
                <a:srgbClr val="000080"/>
              </a:solidFill>
              <a:ln w="9525" cap="flat" cmpd="sng" algn="ctr">
                <a:solidFill>
                  <a:srgbClr val="000080"/>
                </a:solidFill>
                <a:prstDash val="solid"/>
                <a:round/>
              </a:ln>
            </c:spPr>
          </c:marker>
          <c:cat>
            <c:strRef>
              <c:f>Sheet1!$A$33:$A$68</c:f>
              <c:strCache>
                <c:ptCount val="36"/>
                <c:pt idx="0">
                  <c:v>2010q1</c:v>
                </c:pt>
                <c:pt idx="1">
                  <c:v>2010q2</c:v>
                </c:pt>
                <c:pt idx="2">
                  <c:v>2010q3</c:v>
                </c:pt>
                <c:pt idx="3">
                  <c:v>2010q4</c:v>
                </c:pt>
                <c:pt idx="4">
                  <c:v>2011q1</c:v>
                </c:pt>
                <c:pt idx="5">
                  <c:v>2011q2</c:v>
                </c:pt>
                <c:pt idx="6">
                  <c:v>2011q3</c:v>
                </c:pt>
                <c:pt idx="7">
                  <c:v>2011q4</c:v>
                </c:pt>
                <c:pt idx="8">
                  <c:v>2012q1</c:v>
                </c:pt>
                <c:pt idx="9">
                  <c:v>2012q2</c:v>
                </c:pt>
                <c:pt idx="10">
                  <c:v>2012q3</c:v>
                </c:pt>
                <c:pt idx="11">
                  <c:v>2012q4</c:v>
                </c:pt>
                <c:pt idx="12">
                  <c:v>2013q1</c:v>
                </c:pt>
                <c:pt idx="13">
                  <c:v>2013q2</c:v>
                </c:pt>
                <c:pt idx="14">
                  <c:v>2013q3</c:v>
                </c:pt>
                <c:pt idx="15">
                  <c:v>2013q4</c:v>
                </c:pt>
                <c:pt idx="16">
                  <c:v>2014q1</c:v>
                </c:pt>
                <c:pt idx="17">
                  <c:v>2014q2</c:v>
                </c:pt>
                <c:pt idx="18">
                  <c:v>2014q3</c:v>
                </c:pt>
                <c:pt idx="19">
                  <c:v>2014q4</c:v>
                </c:pt>
                <c:pt idx="20">
                  <c:v>2015q1</c:v>
                </c:pt>
                <c:pt idx="21">
                  <c:v>2015q2</c:v>
                </c:pt>
                <c:pt idx="22">
                  <c:v>2015q3</c:v>
                </c:pt>
                <c:pt idx="23">
                  <c:v>2015q4</c:v>
                </c:pt>
                <c:pt idx="24">
                  <c:v>2016q1</c:v>
                </c:pt>
                <c:pt idx="25">
                  <c:v>2016q2</c:v>
                </c:pt>
                <c:pt idx="26">
                  <c:v>2016q3</c:v>
                </c:pt>
                <c:pt idx="27">
                  <c:v>2016q4</c:v>
                </c:pt>
                <c:pt idx="28">
                  <c:v>2017q1</c:v>
                </c:pt>
                <c:pt idx="29">
                  <c:v>2017q2</c:v>
                </c:pt>
                <c:pt idx="30">
                  <c:v>2017q3</c:v>
                </c:pt>
                <c:pt idx="31">
                  <c:v>2017q4</c:v>
                </c:pt>
                <c:pt idx="32">
                  <c:v>2018q1</c:v>
                </c:pt>
                <c:pt idx="33">
                  <c:v>2018q2</c:v>
                </c:pt>
                <c:pt idx="34">
                  <c:v>2018q3</c:v>
                </c:pt>
                <c:pt idx="35">
                  <c:v>2018q4</c:v>
                </c:pt>
              </c:strCache>
            </c:strRef>
          </c:cat>
          <c:val>
            <c:numRef>
              <c:f>Sheet1!$B$33:$B$68</c:f>
              <c:numCache>
                <c:formatCode>General</c:formatCode>
                <c:ptCount val="36"/>
                <c:pt idx="0">
                  <c:v>11.9</c:v>
                </c:pt>
                <c:pt idx="1">
                  <c:v>10.3</c:v>
                </c:pt>
                <c:pt idx="2">
                  <c:v>9.6</c:v>
                </c:pt>
                <c:pt idx="3">
                  <c:v>9.8000000000000007</c:v>
                </c:pt>
                <c:pt idx="4">
                  <c:v>9.7000000000000011</c:v>
                </c:pt>
                <c:pt idx="5">
                  <c:v>9.5</c:v>
                </c:pt>
                <c:pt idx="6">
                  <c:v>9.1</c:v>
                </c:pt>
                <c:pt idx="7">
                  <c:v>8.9</c:v>
                </c:pt>
                <c:pt idx="8">
                  <c:v>8.1</c:v>
                </c:pt>
                <c:pt idx="9">
                  <c:v>7.6</c:v>
                </c:pt>
                <c:pt idx="10">
                  <c:v>7.4</c:v>
                </c:pt>
                <c:pt idx="11">
                  <c:v>7.9</c:v>
                </c:pt>
                <c:pt idx="12">
                  <c:v>7.7</c:v>
                </c:pt>
                <c:pt idx="13">
                  <c:v>7.5</c:v>
                </c:pt>
                <c:pt idx="14">
                  <c:v>7.8</c:v>
                </c:pt>
                <c:pt idx="15">
                  <c:v>7.7</c:v>
                </c:pt>
                <c:pt idx="16">
                  <c:v>7.4</c:v>
                </c:pt>
                <c:pt idx="17">
                  <c:v>7.5</c:v>
                </c:pt>
                <c:pt idx="18">
                  <c:v>7.3</c:v>
                </c:pt>
                <c:pt idx="19">
                  <c:v>7.3</c:v>
                </c:pt>
                <c:pt idx="20">
                  <c:v>7</c:v>
                </c:pt>
                <c:pt idx="21">
                  <c:v>7</c:v>
                </c:pt>
                <c:pt idx="22">
                  <c:v>6.9</c:v>
                </c:pt>
                <c:pt idx="23">
                  <c:v>6.8</c:v>
                </c:pt>
                <c:pt idx="24">
                  <c:v>6.7</c:v>
                </c:pt>
                <c:pt idx="25">
                  <c:v>6.7</c:v>
                </c:pt>
                <c:pt idx="26">
                  <c:v>6.7</c:v>
                </c:pt>
                <c:pt idx="27">
                  <c:v>6.8</c:v>
                </c:pt>
                <c:pt idx="28">
                  <c:v>6.9</c:v>
                </c:pt>
                <c:pt idx="29">
                  <c:v>6.9</c:v>
                </c:pt>
                <c:pt idx="30">
                  <c:v>6.8</c:v>
                </c:pt>
                <c:pt idx="31">
                  <c:v>6.8</c:v>
                </c:pt>
                <c:pt idx="32">
                  <c:v>6.8</c:v>
                </c:pt>
                <c:pt idx="33">
                  <c:v>6.7</c:v>
                </c:pt>
                <c:pt idx="34">
                  <c:v>6.5</c:v>
                </c:pt>
                <c:pt idx="35">
                  <c:v>6.4</c:v>
                </c:pt>
              </c:numCache>
            </c:numRef>
          </c:val>
        </c:ser>
        <c:ser>
          <c:idx val="1"/>
          <c:order val="1"/>
          <c:tx>
            <c:strRef>
              <c:f>工业增加值</c:f>
              <c:strCache>
                <c:ptCount val="1"/>
                <c:pt idx="0">
                  <c:v>工业增加值</c:v>
                </c:pt>
              </c:strCache>
            </c:strRef>
          </c:tx>
          <c:spPr>
            <a:ln w="12700" cap="rnd" cmpd="sng" algn="ctr">
              <a:solidFill>
                <a:srgbClr val="FF00FF"/>
              </a:solidFill>
              <a:prstDash val="solid"/>
              <a:round/>
            </a:ln>
          </c:spPr>
          <c:marker>
            <c:symbol val="square"/>
            <c:size val="5"/>
            <c:spPr>
              <a:solidFill>
                <a:srgbClr val="FF00FF"/>
              </a:solidFill>
              <a:ln w="9525" cap="flat" cmpd="sng" algn="ctr">
                <a:solidFill>
                  <a:srgbClr val="FF00FF"/>
                </a:solidFill>
                <a:prstDash val="solid"/>
                <a:round/>
              </a:ln>
            </c:spPr>
          </c:marker>
          <c:cat>
            <c:strRef>
              <c:f>Sheet1!$A$33:$A$68</c:f>
              <c:strCache>
                <c:ptCount val="36"/>
                <c:pt idx="0">
                  <c:v>2010q1</c:v>
                </c:pt>
                <c:pt idx="1">
                  <c:v>2010q2</c:v>
                </c:pt>
                <c:pt idx="2">
                  <c:v>2010q3</c:v>
                </c:pt>
                <c:pt idx="3">
                  <c:v>2010q4</c:v>
                </c:pt>
                <c:pt idx="4">
                  <c:v>2011q1</c:v>
                </c:pt>
                <c:pt idx="5">
                  <c:v>2011q2</c:v>
                </c:pt>
                <c:pt idx="6">
                  <c:v>2011q3</c:v>
                </c:pt>
                <c:pt idx="7">
                  <c:v>2011q4</c:v>
                </c:pt>
                <c:pt idx="8">
                  <c:v>2012q1</c:v>
                </c:pt>
                <c:pt idx="9">
                  <c:v>2012q2</c:v>
                </c:pt>
                <c:pt idx="10">
                  <c:v>2012q3</c:v>
                </c:pt>
                <c:pt idx="11">
                  <c:v>2012q4</c:v>
                </c:pt>
                <c:pt idx="12">
                  <c:v>2013q1</c:v>
                </c:pt>
                <c:pt idx="13">
                  <c:v>2013q2</c:v>
                </c:pt>
                <c:pt idx="14">
                  <c:v>2013q3</c:v>
                </c:pt>
                <c:pt idx="15">
                  <c:v>2013q4</c:v>
                </c:pt>
                <c:pt idx="16">
                  <c:v>2014q1</c:v>
                </c:pt>
                <c:pt idx="17">
                  <c:v>2014q2</c:v>
                </c:pt>
                <c:pt idx="18">
                  <c:v>2014q3</c:v>
                </c:pt>
                <c:pt idx="19">
                  <c:v>2014q4</c:v>
                </c:pt>
                <c:pt idx="20">
                  <c:v>2015q1</c:v>
                </c:pt>
                <c:pt idx="21">
                  <c:v>2015q2</c:v>
                </c:pt>
                <c:pt idx="22">
                  <c:v>2015q3</c:v>
                </c:pt>
                <c:pt idx="23">
                  <c:v>2015q4</c:v>
                </c:pt>
                <c:pt idx="24">
                  <c:v>2016q1</c:v>
                </c:pt>
                <c:pt idx="25">
                  <c:v>2016q2</c:v>
                </c:pt>
                <c:pt idx="26">
                  <c:v>2016q3</c:v>
                </c:pt>
                <c:pt idx="27">
                  <c:v>2016q4</c:v>
                </c:pt>
                <c:pt idx="28">
                  <c:v>2017q1</c:v>
                </c:pt>
                <c:pt idx="29">
                  <c:v>2017q2</c:v>
                </c:pt>
                <c:pt idx="30">
                  <c:v>2017q3</c:v>
                </c:pt>
                <c:pt idx="31">
                  <c:v>2017q4</c:v>
                </c:pt>
                <c:pt idx="32">
                  <c:v>2018q1</c:v>
                </c:pt>
                <c:pt idx="33">
                  <c:v>2018q2</c:v>
                </c:pt>
                <c:pt idx="34">
                  <c:v>2018q3</c:v>
                </c:pt>
                <c:pt idx="35">
                  <c:v>2018q4</c:v>
                </c:pt>
              </c:strCache>
            </c:strRef>
          </c:cat>
          <c:val>
            <c:numRef>
              <c:f>Sheet1!$C$33:$C$68</c:f>
              <c:numCache>
                <c:formatCode>General</c:formatCode>
                <c:ptCount val="36"/>
                <c:pt idx="0">
                  <c:v>19.600000000000001</c:v>
                </c:pt>
                <c:pt idx="1">
                  <c:v>15.6</c:v>
                </c:pt>
                <c:pt idx="2">
                  <c:v>13.5</c:v>
                </c:pt>
                <c:pt idx="3">
                  <c:v>13.3</c:v>
                </c:pt>
                <c:pt idx="4">
                  <c:v>14.4</c:v>
                </c:pt>
                <c:pt idx="5">
                  <c:v>14.2</c:v>
                </c:pt>
                <c:pt idx="6">
                  <c:v>14</c:v>
                </c:pt>
                <c:pt idx="7">
                  <c:v>13</c:v>
                </c:pt>
                <c:pt idx="8">
                  <c:v>11.6</c:v>
                </c:pt>
                <c:pt idx="9">
                  <c:v>9.4</c:v>
                </c:pt>
                <c:pt idx="10">
                  <c:v>9</c:v>
                </c:pt>
                <c:pt idx="11">
                  <c:v>10</c:v>
                </c:pt>
                <c:pt idx="12">
                  <c:v>9.5</c:v>
                </c:pt>
                <c:pt idx="13">
                  <c:v>9.1</c:v>
                </c:pt>
                <c:pt idx="14">
                  <c:v>10.200000000000001</c:v>
                </c:pt>
                <c:pt idx="15">
                  <c:v>10</c:v>
                </c:pt>
                <c:pt idx="16">
                  <c:v>8.7000000000000011</c:v>
                </c:pt>
                <c:pt idx="17">
                  <c:v>8.9</c:v>
                </c:pt>
                <c:pt idx="18">
                  <c:v>7.9</c:v>
                </c:pt>
                <c:pt idx="19">
                  <c:v>7.7</c:v>
                </c:pt>
                <c:pt idx="20">
                  <c:v>6.4</c:v>
                </c:pt>
                <c:pt idx="21">
                  <c:v>6.2</c:v>
                </c:pt>
                <c:pt idx="22">
                  <c:v>6.2</c:v>
                </c:pt>
                <c:pt idx="23">
                  <c:v>5.8</c:v>
                </c:pt>
                <c:pt idx="24">
                  <c:v>5.8</c:v>
                </c:pt>
                <c:pt idx="25">
                  <c:v>6.2</c:v>
                </c:pt>
                <c:pt idx="26">
                  <c:v>6</c:v>
                </c:pt>
                <c:pt idx="27">
                  <c:v>6</c:v>
                </c:pt>
                <c:pt idx="28">
                  <c:v>6.8</c:v>
                </c:pt>
                <c:pt idx="29">
                  <c:v>7</c:v>
                </c:pt>
                <c:pt idx="30">
                  <c:v>6.3</c:v>
                </c:pt>
                <c:pt idx="31">
                  <c:v>6.3</c:v>
                </c:pt>
                <c:pt idx="32">
                  <c:v>6.8</c:v>
                </c:pt>
                <c:pt idx="33">
                  <c:v>6.7</c:v>
                </c:pt>
                <c:pt idx="34">
                  <c:v>5.7</c:v>
                </c:pt>
                <c:pt idx="35">
                  <c:v>5.6</c:v>
                </c:pt>
              </c:numCache>
            </c:numRef>
          </c:val>
        </c:ser>
        <c:marker val="1"/>
        <c:axId val="147632896"/>
        <c:axId val="147634816"/>
      </c:lineChart>
      <c:catAx>
        <c:axId val="147632896"/>
        <c:scaling>
          <c:orientation val="minMax"/>
        </c:scaling>
        <c:axPos val="b"/>
        <c:numFmt formatCode="General" sourceLinked="1"/>
        <c:majorTickMark val="in"/>
        <c:tickLblPos val="nextTo"/>
        <c:spPr>
          <a:ln w="3175" cap="flat" cmpd="sng" algn="ctr">
            <a:solidFill>
              <a:srgbClr val="000000"/>
            </a:solidFill>
            <a:prstDash val="solid"/>
            <a:round/>
          </a:ln>
        </c:spPr>
        <c:txPr>
          <a:bodyPr rot="-540000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147634816"/>
        <c:crosses val="autoZero"/>
        <c:auto val="1"/>
        <c:lblAlgn val="ctr"/>
        <c:lblOffset val="100"/>
        <c:tickLblSkip val="1"/>
      </c:catAx>
      <c:valAx>
        <c:axId val="147634816"/>
        <c:scaling>
          <c:orientation val="minMax"/>
        </c:scaling>
        <c:axPos val="l"/>
        <c:majorGridlines>
          <c:spPr>
            <a:ln w="3175" cap="flat" cmpd="sng" algn="ctr">
              <a:solidFill>
                <a:srgbClr val="000000"/>
              </a:solidFill>
              <a:prstDash val="solid"/>
              <a:round/>
            </a:ln>
          </c:spPr>
        </c:majorGridlines>
        <c:numFmt formatCode="General" sourceLinked="1"/>
        <c:majorTickMark val="in"/>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147632896"/>
        <c:crosses val="autoZero"/>
        <c:crossBetween val="midCat"/>
      </c:valAx>
    </c:plotArea>
    <c:legend>
      <c:legendPos val="b"/>
      <c:layout>
        <c:manualLayout>
          <c:xMode val="edge"/>
          <c:yMode val="edge"/>
          <c:x val="0.33057895973120244"/>
          <c:y val="0.90344827586206655"/>
          <c:w val="0.37809961498003408"/>
          <c:h val="7.5862068965517324E-2"/>
        </c:manualLayout>
      </c:layout>
      <c:spPr>
        <a:solidFill>
          <a:srgbClr val="FFFFFF"/>
        </a:solidFill>
        <a:ln w="25400">
          <a:noFill/>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gap"/>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价格水平单季同比增长率（％）</a:t>
            </a:r>
          </a:p>
        </c:rich>
      </c:tx>
      <c:layout>
        <c:manualLayout>
          <c:xMode val="edge"/>
          <c:yMode val="edge"/>
          <c:x val="0.30988327464092236"/>
          <c:y val="3.7931034482758738E-2"/>
        </c:manualLayout>
      </c:layout>
      <c:spPr>
        <a:noFill/>
        <a:ln w="25400">
          <a:noFill/>
        </a:ln>
      </c:spPr>
    </c:title>
    <c:plotArea>
      <c:layout>
        <c:manualLayout>
          <c:layoutTarget val="inner"/>
          <c:xMode val="edge"/>
          <c:yMode val="edge"/>
          <c:x val="9.0222103394074674E-2"/>
          <c:y val="0.20689655172413801"/>
          <c:w val="0.85929788803700802"/>
          <c:h val="0.62068965517241659"/>
        </c:manualLayout>
      </c:layout>
      <c:lineChart>
        <c:grouping val="standard"/>
        <c:ser>
          <c:idx val="0"/>
          <c:order val="0"/>
          <c:tx>
            <c:strRef>
              <c:f>CPI</c:f>
              <c:strCache>
                <c:ptCount val="1"/>
                <c:pt idx="0">
                  <c:v>CPI</c:v>
                </c:pt>
              </c:strCache>
            </c:strRef>
          </c:tx>
          <c:spPr>
            <a:ln w="12700" cap="rnd" cmpd="sng" algn="ctr">
              <a:solidFill>
                <a:srgbClr val="000080"/>
              </a:solidFill>
              <a:prstDash val="solid"/>
              <a:round/>
            </a:ln>
          </c:spPr>
          <c:marker>
            <c:symbol val="diamond"/>
            <c:size val="5"/>
            <c:spPr>
              <a:solidFill>
                <a:srgbClr val="000080"/>
              </a:solidFill>
              <a:ln w="9525" cap="flat" cmpd="sng" algn="ctr">
                <a:solidFill>
                  <a:srgbClr val="000080"/>
                </a:solidFill>
                <a:prstDash val="solid"/>
                <a:round/>
              </a:ln>
            </c:spPr>
          </c:marker>
          <c:cat>
            <c:strRef>
              <c:f>价格增长率!$A$31:$A$66</c:f>
              <c:strCache>
                <c:ptCount val="36"/>
                <c:pt idx="0">
                  <c:v>2010q1</c:v>
                </c:pt>
                <c:pt idx="1">
                  <c:v>2010q2</c:v>
                </c:pt>
                <c:pt idx="2">
                  <c:v>2010q3</c:v>
                </c:pt>
                <c:pt idx="3">
                  <c:v>2010q4</c:v>
                </c:pt>
                <c:pt idx="4">
                  <c:v>2011q1</c:v>
                </c:pt>
                <c:pt idx="5">
                  <c:v>2011q2</c:v>
                </c:pt>
                <c:pt idx="6">
                  <c:v>2011q3</c:v>
                </c:pt>
                <c:pt idx="7">
                  <c:v>2011q4</c:v>
                </c:pt>
                <c:pt idx="8">
                  <c:v>2012q1</c:v>
                </c:pt>
                <c:pt idx="9">
                  <c:v>2012q2</c:v>
                </c:pt>
                <c:pt idx="10">
                  <c:v>2012q3</c:v>
                </c:pt>
                <c:pt idx="11">
                  <c:v>2012q4</c:v>
                </c:pt>
                <c:pt idx="12">
                  <c:v>2013q1</c:v>
                </c:pt>
                <c:pt idx="13">
                  <c:v>2013q2</c:v>
                </c:pt>
                <c:pt idx="14">
                  <c:v>2013q3</c:v>
                </c:pt>
                <c:pt idx="15">
                  <c:v>2013q4</c:v>
                </c:pt>
                <c:pt idx="16">
                  <c:v>2014q1</c:v>
                </c:pt>
                <c:pt idx="17">
                  <c:v>2014q2</c:v>
                </c:pt>
                <c:pt idx="18">
                  <c:v>2014q3</c:v>
                </c:pt>
                <c:pt idx="19">
                  <c:v>2014q4</c:v>
                </c:pt>
                <c:pt idx="20">
                  <c:v>2015q1</c:v>
                </c:pt>
                <c:pt idx="21">
                  <c:v>2015q2</c:v>
                </c:pt>
                <c:pt idx="22">
                  <c:v>2015q3</c:v>
                </c:pt>
                <c:pt idx="23">
                  <c:v>2015q4</c:v>
                </c:pt>
                <c:pt idx="24">
                  <c:v>2016q1</c:v>
                </c:pt>
                <c:pt idx="25">
                  <c:v>2016q2</c:v>
                </c:pt>
                <c:pt idx="26">
                  <c:v>2016q3</c:v>
                </c:pt>
                <c:pt idx="27">
                  <c:v>2016q4</c:v>
                </c:pt>
                <c:pt idx="28">
                  <c:v>2017q1</c:v>
                </c:pt>
                <c:pt idx="29">
                  <c:v>2017q2</c:v>
                </c:pt>
                <c:pt idx="30">
                  <c:v>2017q3</c:v>
                </c:pt>
                <c:pt idx="31">
                  <c:v>2017q4</c:v>
                </c:pt>
                <c:pt idx="32">
                  <c:v>2018q1</c:v>
                </c:pt>
                <c:pt idx="33">
                  <c:v>2018q2</c:v>
                </c:pt>
                <c:pt idx="34">
                  <c:v>2018q3</c:v>
                </c:pt>
                <c:pt idx="35">
                  <c:v>2018q4</c:v>
                </c:pt>
              </c:strCache>
            </c:strRef>
          </c:cat>
          <c:val>
            <c:numRef>
              <c:f>价格增长率!$B$31:$B$66</c:f>
              <c:numCache>
                <c:formatCode>General</c:formatCode>
                <c:ptCount val="36"/>
                <c:pt idx="0">
                  <c:v>2.2000000000000002</c:v>
                </c:pt>
                <c:pt idx="1">
                  <c:v>3</c:v>
                </c:pt>
                <c:pt idx="2">
                  <c:v>3.2</c:v>
                </c:pt>
                <c:pt idx="3">
                  <c:v>4.8</c:v>
                </c:pt>
                <c:pt idx="4">
                  <c:v>5</c:v>
                </c:pt>
                <c:pt idx="5">
                  <c:v>5.8</c:v>
                </c:pt>
                <c:pt idx="6">
                  <c:v>6.3</c:v>
                </c:pt>
                <c:pt idx="7">
                  <c:v>4.5</c:v>
                </c:pt>
                <c:pt idx="8">
                  <c:v>3.8</c:v>
                </c:pt>
                <c:pt idx="9">
                  <c:v>2.8</c:v>
                </c:pt>
                <c:pt idx="10">
                  <c:v>1.8</c:v>
                </c:pt>
                <c:pt idx="11">
                  <c:v>2</c:v>
                </c:pt>
                <c:pt idx="12">
                  <c:v>2.4</c:v>
                </c:pt>
                <c:pt idx="13">
                  <c:v>2.4</c:v>
                </c:pt>
                <c:pt idx="14">
                  <c:v>2.7</c:v>
                </c:pt>
                <c:pt idx="15">
                  <c:v>2.9</c:v>
                </c:pt>
                <c:pt idx="16">
                  <c:v>2.2999999999999998</c:v>
                </c:pt>
                <c:pt idx="17">
                  <c:v>2.2999999999999998</c:v>
                </c:pt>
                <c:pt idx="18">
                  <c:v>1.7</c:v>
                </c:pt>
                <c:pt idx="19">
                  <c:v>1.7</c:v>
                </c:pt>
                <c:pt idx="20">
                  <c:v>1.2</c:v>
                </c:pt>
                <c:pt idx="21">
                  <c:v>1.4</c:v>
                </c:pt>
                <c:pt idx="22">
                  <c:v>1.6</c:v>
                </c:pt>
                <c:pt idx="23">
                  <c:v>1.4</c:v>
                </c:pt>
                <c:pt idx="24">
                  <c:v>2.1</c:v>
                </c:pt>
                <c:pt idx="25">
                  <c:v>2.1</c:v>
                </c:pt>
                <c:pt idx="26">
                  <c:v>1.8</c:v>
                </c:pt>
                <c:pt idx="27">
                  <c:v>2</c:v>
                </c:pt>
                <c:pt idx="28">
                  <c:v>1.4</c:v>
                </c:pt>
                <c:pt idx="29">
                  <c:v>1.4</c:v>
                </c:pt>
                <c:pt idx="30">
                  <c:v>1.7</c:v>
                </c:pt>
                <c:pt idx="31">
                  <c:v>1.9000000000000001</c:v>
                </c:pt>
                <c:pt idx="32">
                  <c:v>2.1</c:v>
                </c:pt>
                <c:pt idx="33">
                  <c:v>2</c:v>
                </c:pt>
                <c:pt idx="34">
                  <c:v>2.2999999999999998</c:v>
                </c:pt>
                <c:pt idx="35">
                  <c:v>2</c:v>
                </c:pt>
              </c:numCache>
            </c:numRef>
          </c:val>
        </c:ser>
        <c:ser>
          <c:idx val="1"/>
          <c:order val="1"/>
          <c:tx>
            <c:strRef>
              <c:f>工业生产者出厂价格</c:f>
              <c:strCache>
                <c:ptCount val="1"/>
                <c:pt idx="0">
                  <c:v>工业生产者出厂价格</c:v>
                </c:pt>
              </c:strCache>
            </c:strRef>
          </c:tx>
          <c:spPr>
            <a:ln w="12700" cap="rnd" cmpd="sng" algn="ctr">
              <a:solidFill>
                <a:srgbClr val="FF00FF"/>
              </a:solidFill>
              <a:prstDash val="solid"/>
              <a:round/>
            </a:ln>
          </c:spPr>
          <c:marker>
            <c:symbol val="square"/>
            <c:size val="5"/>
            <c:spPr>
              <a:solidFill>
                <a:srgbClr val="FF00FF"/>
              </a:solidFill>
              <a:ln w="9525" cap="flat" cmpd="sng" algn="ctr">
                <a:solidFill>
                  <a:srgbClr val="FF00FF"/>
                </a:solidFill>
                <a:prstDash val="solid"/>
                <a:round/>
              </a:ln>
            </c:spPr>
          </c:marker>
          <c:cat>
            <c:strRef>
              <c:f>价格增长率!$A$31:$A$66</c:f>
              <c:strCache>
                <c:ptCount val="36"/>
                <c:pt idx="0">
                  <c:v>2010q1</c:v>
                </c:pt>
                <c:pt idx="1">
                  <c:v>2010q2</c:v>
                </c:pt>
                <c:pt idx="2">
                  <c:v>2010q3</c:v>
                </c:pt>
                <c:pt idx="3">
                  <c:v>2010q4</c:v>
                </c:pt>
                <c:pt idx="4">
                  <c:v>2011q1</c:v>
                </c:pt>
                <c:pt idx="5">
                  <c:v>2011q2</c:v>
                </c:pt>
                <c:pt idx="6">
                  <c:v>2011q3</c:v>
                </c:pt>
                <c:pt idx="7">
                  <c:v>2011q4</c:v>
                </c:pt>
                <c:pt idx="8">
                  <c:v>2012q1</c:v>
                </c:pt>
                <c:pt idx="9">
                  <c:v>2012q2</c:v>
                </c:pt>
                <c:pt idx="10">
                  <c:v>2012q3</c:v>
                </c:pt>
                <c:pt idx="11">
                  <c:v>2012q4</c:v>
                </c:pt>
                <c:pt idx="12">
                  <c:v>2013q1</c:v>
                </c:pt>
                <c:pt idx="13">
                  <c:v>2013q2</c:v>
                </c:pt>
                <c:pt idx="14">
                  <c:v>2013q3</c:v>
                </c:pt>
                <c:pt idx="15">
                  <c:v>2013q4</c:v>
                </c:pt>
                <c:pt idx="16">
                  <c:v>2014q1</c:v>
                </c:pt>
                <c:pt idx="17">
                  <c:v>2014q2</c:v>
                </c:pt>
                <c:pt idx="18">
                  <c:v>2014q3</c:v>
                </c:pt>
                <c:pt idx="19">
                  <c:v>2014q4</c:v>
                </c:pt>
                <c:pt idx="20">
                  <c:v>2015q1</c:v>
                </c:pt>
                <c:pt idx="21">
                  <c:v>2015q2</c:v>
                </c:pt>
                <c:pt idx="22">
                  <c:v>2015q3</c:v>
                </c:pt>
                <c:pt idx="23">
                  <c:v>2015q4</c:v>
                </c:pt>
                <c:pt idx="24">
                  <c:v>2016q1</c:v>
                </c:pt>
                <c:pt idx="25">
                  <c:v>2016q2</c:v>
                </c:pt>
                <c:pt idx="26">
                  <c:v>2016q3</c:v>
                </c:pt>
                <c:pt idx="27">
                  <c:v>2016q4</c:v>
                </c:pt>
                <c:pt idx="28">
                  <c:v>2017q1</c:v>
                </c:pt>
                <c:pt idx="29">
                  <c:v>2017q2</c:v>
                </c:pt>
                <c:pt idx="30">
                  <c:v>2017q3</c:v>
                </c:pt>
                <c:pt idx="31">
                  <c:v>2017q4</c:v>
                </c:pt>
                <c:pt idx="32">
                  <c:v>2018q1</c:v>
                </c:pt>
                <c:pt idx="33">
                  <c:v>2018q2</c:v>
                </c:pt>
                <c:pt idx="34">
                  <c:v>2018q3</c:v>
                </c:pt>
                <c:pt idx="35">
                  <c:v>2018q4</c:v>
                </c:pt>
              </c:strCache>
            </c:strRef>
          </c:cat>
          <c:val>
            <c:numRef>
              <c:f>价格增长率!$C$31:$C$66</c:f>
              <c:numCache>
                <c:formatCode>General</c:formatCode>
                <c:ptCount val="36"/>
                <c:pt idx="0">
                  <c:v>5.2</c:v>
                </c:pt>
                <c:pt idx="1">
                  <c:v>6.8</c:v>
                </c:pt>
                <c:pt idx="2">
                  <c:v>4.5</c:v>
                </c:pt>
                <c:pt idx="3">
                  <c:v>5.5</c:v>
                </c:pt>
                <c:pt idx="4">
                  <c:v>7.1</c:v>
                </c:pt>
                <c:pt idx="5">
                  <c:v>6.9</c:v>
                </c:pt>
                <c:pt idx="6">
                  <c:v>7</c:v>
                </c:pt>
                <c:pt idx="7">
                  <c:v>3</c:v>
                </c:pt>
                <c:pt idx="8">
                  <c:v>0.1</c:v>
                </c:pt>
                <c:pt idx="9">
                  <c:v>-1.3</c:v>
                </c:pt>
                <c:pt idx="10">
                  <c:v>-3.3</c:v>
                </c:pt>
                <c:pt idx="11">
                  <c:v>-2.2999999999999998</c:v>
                </c:pt>
                <c:pt idx="12">
                  <c:v>-1.7</c:v>
                </c:pt>
                <c:pt idx="13">
                  <c:v>-2.7</c:v>
                </c:pt>
                <c:pt idx="14">
                  <c:v>-1.9000000000000001</c:v>
                </c:pt>
                <c:pt idx="15">
                  <c:v>-1.3</c:v>
                </c:pt>
                <c:pt idx="16">
                  <c:v>-2</c:v>
                </c:pt>
                <c:pt idx="17">
                  <c:v>-1.6</c:v>
                </c:pt>
                <c:pt idx="18">
                  <c:v>-1.2</c:v>
                </c:pt>
                <c:pt idx="19">
                  <c:v>-2.8</c:v>
                </c:pt>
                <c:pt idx="20">
                  <c:v>-4.5999999999999996</c:v>
                </c:pt>
                <c:pt idx="21">
                  <c:v>-4.5999999999999996</c:v>
                </c:pt>
                <c:pt idx="22">
                  <c:v>-5.8</c:v>
                </c:pt>
                <c:pt idx="23">
                  <c:v>-5.8</c:v>
                </c:pt>
                <c:pt idx="24">
                  <c:v>-4.8</c:v>
                </c:pt>
                <c:pt idx="25">
                  <c:v>-3</c:v>
                </c:pt>
                <c:pt idx="26">
                  <c:v>-0.9</c:v>
                </c:pt>
                <c:pt idx="27">
                  <c:v>3.1</c:v>
                </c:pt>
                <c:pt idx="28">
                  <c:v>7.4</c:v>
                </c:pt>
                <c:pt idx="29">
                  <c:v>5.8</c:v>
                </c:pt>
                <c:pt idx="30">
                  <c:v>6.3</c:v>
                </c:pt>
                <c:pt idx="31">
                  <c:v>5.7</c:v>
                </c:pt>
                <c:pt idx="32">
                  <c:v>3.7</c:v>
                </c:pt>
                <c:pt idx="33">
                  <c:v>4.0999999999999996</c:v>
                </c:pt>
                <c:pt idx="34">
                  <c:v>4.2</c:v>
                </c:pt>
                <c:pt idx="35">
                  <c:v>2</c:v>
                </c:pt>
              </c:numCache>
            </c:numRef>
          </c:val>
        </c:ser>
        <c:ser>
          <c:idx val="2"/>
          <c:order val="2"/>
          <c:tx>
            <c:strRef>
              <c:f>工业生产者购进价格</c:f>
              <c:strCache>
                <c:ptCount val="1"/>
                <c:pt idx="0">
                  <c:v>工业生产者购进价格</c:v>
                </c:pt>
              </c:strCache>
            </c:strRef>
          </c:tx>
          <c:spPr>
            <a:ln w="12700" cap="rnd" cmpd="sng" algn="ctr">
              <a:solidFill>
                <a:srgbClr val="800080"/>
              </a:solidFill>
              <a:prstDash val="solid"/>
              <a:round/>
            </a:ln>
          </c:spPr>
          <c:marker>
            <c:symbol val="triangle"/>
            <c:size val="5"/>
            <c:spPr>
              <a:solidFill>
                <a:srgbClr val="800080"/>
              </a:solidFill>
              <a:ln w="9525" cap="flat" cmpd="sng" algn="ctr">
                <a:solidFill>
                  <a:srgbClr val="800080"/>
                </a:solidFill>
                <a:prstDash val="solid"/>
                <a:round/>
              </a:ln>
            </c:spPr>
          </c:marker>
          <c:cat>
            <c:strRef>
              <c:f>价格增长率!$A$31:$A$66</c:f>
              <c:strCache>
                <c:ptCount val="36"/>
                <c:pt idx="0">
                  <c:v>2010q1</c:v>
                </c:pt>
                <c:pt idx="1">
                  <c:v>2010q2</c:v>
                </c:pt>
                <c:pt idx="2">
                  <c:v>2010q3</c:v>
                </c:pt>
                <c:pt idx="3">
                  <c:v>2010q4</c:v>
                </c:pt>
                <c:pt idx="4">
                  <c:v>2011q1</c:v>
                </c:pt>
                <c:pt idx="5">
                  <c:v>2011q2</c:v>
                </c:pt>
                <c:pt idx="6">
                  <c:v>2011q3</c:v>
                </c:pt>
                <c:pt idx="7">
                  <c:v>2011q4</c:v>
                </c:pt>
                <c:pt idx="8">
                  <c:v>2012q1</c:v>
                </c:pt>
                <c:pt idx="9">
                  <c:v>2012q2</c:v>
                </c:pt>
                <c:pt idx="10">
                  <c:v>2012q3</c:v>
                </c:pt>
                <c:pt idx="11">
                  <c:v>2012q4</c:v>
                </c:pt>
                <c:pt idx="12">
                  <c:v>2013q1</c:v>
                </c:pt>
                <c:pt idx="13">
                  <c:v>2013q2</c:v>
                </c:pt>
                <c:pt idx="14">
                  <c:v>2013q3</c:v>
                </c:pt>
                <c:pt idx="15">
                  <c:v>2013q4</c:v>
                </c:pt>
                <c:pt idx="16">
                  <c:v>2014q1</c:v>
                </c:pt>
                <c:pt idx="17">
                  <c:v>2014q2</c:v>
                </c:pt>
                <c:pt idx="18">
                  <c:v>2014q3</c:v>
                </c:pt>
                <c:pt idx="19">
                  <c:v>2014q4</c:v>
                </c:pt>
                <c:pt idx="20">
                  <c:v>2015q1</c:v>
                </c:pt>
                <c:pt idx="21">
                  <c:v>2015q2</c:v>
                </c:pt>
                <c:pt idx="22">
                  <c:v>2015q3</c:v>
                </c:pt>
                <c:pt idx="23">
                  <c:v>2015q4</c:v>
                </c:pt>
                <c:pt idx="24">
                  <c:v>2016q1</c:v>
                </c:pt>
                <c:pt idx="25">
                  <c:v>2016q2</c:v>
                </c:pt>
                <c:pt idx="26">
                  <c:v>2016q3</c:v>
                </c:pt>
                <c:pt idx="27">
                  <c:v>2016q4</c:v>
                </c:pt>
                <c:pt idx="28">
                  <c:v>2017q1</c:v>
                </c:pt>
                <c:pt idx="29">
                  <c:v>2017q2</c:v>
                </c:pt>
                <c:pt idx="30">
                  <c:v>2017q3</c:v>
                </c:pt>
                <c:pt idx="31">
                  <c:v>2017q4</c:v>
                </c:pt>
                <c:pt idx="32">
                  <c:v>2018q1</c:v>
                </c:pt>
                <c:pt idx="33">
                  <c:v>2018q2</c:v>
                </c:pt>
                <c:pt idx="34">
                  <c:v>2018q3</c:v>
                </c:pt>
                <c:pt idx="35">
                  <c:v>2018q4</c:v>
                </c:pt>
              </c:strCache>
            </c:strRef>
          </c:cat>
          <c:val>
            <c:numRef>
              <c:f>价格增长率!$D$31:$D$66</c:f>
              <c:numCache>
                <c:formatCode>General</c:formatCode>
                <c:ptCount val="36"/>
                <c:pt idx="0">
                  <c:v>9.9</c:v>
                </c:pt>
                <c:pt idx="1">
                  <c:v>11.7</c:v>
                </c:pt>
                <c:pt idx="2">
                  <c:v>7.8</c:v>
                </c:pt>
                <c:pt idx="3">
                  <c:v>9</c:v>
                </c:pt>
                <c:pt idx="4">
                  <c:v>10.200000000000001</c:v>
                </c:pt>
                <c:pt idx="5">
                  <c:v>10.4</c:v>
                </c:pt>
                <c:pt idx="6">
                  <c:v>10.6</c:v>
                </c:pt>
                <c:pt idx="7">
                  <c:v>5.2</c:v>
                </c:pt>
                <c:pt idx="8">
                  <c:v>1</c:v>
                </c:pt>
                <c:pt idx="9">
                  <c:v>-1.6</c:v>
                </c:pt>
                <c:pt idx="10">
                  <c:v>-3.9</c:v>
                </c:pt>
                <c:pt idx="11">
                  <c:v>-2.7</c:v>
                </c:pt>
                <c:pt idx="12">
                  <c:v>-1.9000000000000001</c:v>
                </c:pt>
                <c:pt idx="13">
                  <c:v>-2.9</c:v>
                </c:pt>
                <c:pt idx="14">
                  <c:v>-1.8</c:v>
                </c:pt>
                <c:pt idx="15">
                  <c:v>-1.4</c:v>
                </c:pt>
                <c:pt idx="16">
                  <c:v>-2.1</c:v>
                </c:pt>
                <c:pt idx="17">
                  <c:v>-1.9000000000000001</c:v>
                </c:pt>
                <c:pt idx="18">
                  <c:v>-1.4</c:v>
                </c:pt>
                <c:pt idx="19">
                  <c:v>-3.4</c:v>
                </c:pt>
                <c:pt idx="20">
                  <c:v>-5.6</c:v>
                </c:pt>
                <c:pt idx="21">
                  <c:v>-5.4</c:v>
                </c:pt>
                <c:pt idx="22">
                  <c:v>-6.7</c:v>
                </c:pt>
                <c:pt idx="23">
                  <c:v>-6.7</c:v>
                </c:pt>
                <c:pt idx="24">
                  <c:v>-5.8</c:v>
                </c:pt>
                <c:pt idx="25">
                  <c:v>-3.8</c:v>
                </c:pt>
                <c:pt idx="26">
                  <c:v>-1.8</c:v>
                </c:pt>
                <c:pt idx="27">
                  <c:v>3.4</c:v>
                </c:pt>
                <c:pt idx="28">
                  <c:v>9.4</c:v>
                </c:pt>
                <c:pt idx="29">
                  <c:v>8</c:v>
                </c:pt>
                <c:pt idx="30">
                  <c:v>7.8</c:v>
                </c:pt>
                <c:pt idx="31">
                  <c:v>7.2</c:v>
                </c:pt>
                <c:pt idx="32">
                  <c:v>4.4000000000000004</c:v>
                </c:pt>
                <c:pt idx="33">
                  <c:v>4.4000000000000004</c:v>
                </c:pt>
                <c:pt idx="34">
                  <c:v>4.7</c:v>
                </c:pt>
                <c:pt idx="35">
                  <c:v>2.9</c:v>
                </c:pt>
              </c:numCache>
            </c:numRef>
          </c:val>
        </c:ser>
        <c:marker val="1"/>
        <c:axId val="153620480"/>
        <c:axId val="153623552"/>
      </c:lineChart>
      <c:catAx>
        <c:axId val="153620480"/>
        <c:scaling>
          <c:orientation val="minMax"/>
        </c:scaling>
        <c:axPos val="b"/>
        <c:numFmt formatCode="General" sourceLinked="1"/>
        <c:majorTickMark val="in"/>
        <c:tickLblPos val="nextTo"/>
        <c:spPr>
          <a:ln w="3175" cap="flat" cmpd="sng" algn="ctr">
            <a:solidFill>
              <a:srgbClr val="000000"/>
            </a:solidFill>
            <a:prstDash val="solid"/>
            <a:round/>
          </a:ln>
        </c:spPr>
        <c:txPr>
          <a:bodyPr rot="-540000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153623552"/>
        <c:crosses val="autoZero"/>
        <c:auto val="1"/>
        <c:lblAlgn val="ctr"/>
        <c:lblOffset val="100"/>
        <c:tickLblSkip val="1"/>
      </c:catAx>
      <c:valAx>
        <c:axId val="153623552"/>
        <c:scaling>
          <c:orientation val="minMax"/>
        </c:scaling>
        <c:axPos val="l"/>
        <c:majorGridlines>
          <c:spPr>
            <a:ln w="3175" cap="flat" cmpd="sng" algn="ctr">
              <a:solidFill>
                <a:srgbClr val="000000"/>
              </a:solidFill>
              <a:prstDash val="solid"/>
              <a:round/>
            </a:ln>
          </c:spPr>
        </c:majorGridlines>
        <c:numFmt formatCode="General" sourceLinked="1"/>
        <c:majorTickMark val="in"/>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153620480"/>
        <c:crosses val="autoZero"/>
        <c:crossBetween val="midCat"/>
      </c:valAx>
      <c:spPr>
        <a:solidFill>
          <a:srgbClr val="FFFFFF"/>
        </a:solidFill>
        <a:ln w="3175">
          <a:solidFill>
            <a:srgbClr val="000000"/>
          </a:solidFill>
          <a:prstDash val="solid"/>
        </a:ln>
      </c:spPr>
    </c:plotArea>
    <c:legend>
      <c:legendPos val="b"/>
      <c:layout>
        <c:manualLayout>
          <c:xMode val="edge"/>
          <c:yMode val="edge"/>
          <c:x val="0.14070369344535411"/>
          <c:y val="0.90344827586206655"/>
          <c:w val="0.71859419582602357"/>
          <c:h val="7.5862068965517324E-2"/>
        </c:manualLayout>
      </c:layout>
      <c:spPr>
        <a:solidFill>
          <a:srgbClr val="FFFFFF"/>
        </a:solidFill>
        <a:ln w="25400">
          <a:noFill/>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gap"/>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200" b="0" i="0" u="none" strike="noStrike" baseline="0">
                <a:solidFill>
                  <a:srgbClr val="000000"/>
                </a:solidFill>
                <a:latin typeface="宋体" panose="02010600030101010101" charset="-122"/>
                <a:ea typeface="宋体" panose="02010600030101010101" charset="-122"/>
              </a:rPr>
              <a:t>投资与消费单季同比增长率（%）</a:t>
            </a:r>
          </a:p>
        </c:rich>
      </c:tx>
      <c:layout>
        <c:manualLayout>
          <c:xMode val="edge"/>
          <c:yMode val="edge"/>
          <c:x val="0.27095577965035222"/>
          <c:y val="3.5483870967742012E-2"/>
        </c:manualLayout>
      </c:layout>
      <c:spPr>
        <a:noFill/>
        <a:ln w="25400">
          <a:noFill/>
        </a:ln>
      </c:spPr>
    </c:title>
    <c:plotArea>
      <c:layout>
        <c:manualLayout>
          <c:layoutTarget val="inner"/>
          <c:xMode val="edge"/>
          <c:yMode val="edge"/>
          <c:x val="6.8226250735278729E-2"/>
          <c:y val="0.19032288042288401"/>
          <c:w val="0.86160008071409344"/>
          <c:h val="0.47742010682350622"/>
        </c:manualLayout>
      </c:layout>
      <c:lineChart>
        <c:grouping val="standard"/>
        <c:ser>
          <c:idx val="0"/>
          <c:order val="0"/>
          <c:tx>
            <c:strRef>
              <c:f>固定资产投资总额</c:f>
              <c:strCache>
                <c:ptCount val="1"/>
                <c:pt idx="0">
                  <c:v>固定资产投资总额</c:v>
                </c:pt>
              </c:strCache>
            </c:strRef>
          </c:tx>
          <c:spPr>
            <a:ln w="12700" cap="rnd" cmpd="sng" algn="ctr">
              <a:solidFill>
                <a:srgbClr val="000080"/>
              </a:solidFill>
              <a:prstDash val="solid"/>
              <a:round/>
            </a:ln>
          </c:spPr>
          <c:marker>
            <c:symbol val="diamond"/>
            <c:size val="5"/>
            <c:spPr>
              <a:solidFill>
                <a:srgbClr val="000080"/>
              </a:solidFill>
              <a:ln w="9525" cap="flat" cmpd="sng" algn="ctr">
                <a:solidFill>
                  <a:srgbClr val="000080"/>
                </a:solidFill>
                <a:prstDash val="solid"/>
                <a:round/>
              </a:ln>
            </c:spPr>
          </c:marker>
          <c:cat>
            <c:strRef>
              <c:f>Sheet1!$A$32:$A$67</c:f>
              <c:strCache>
                <c:ptCount val="36"/>
                <c:pt idx="0">
                  <c:v>2010q1</c:v>
                </c:pt>
                <c:pt idx="1">
                  <c:v>2010q2</c:v>
                </c:pt>
                <c:pt idx="2">
                  <c:v>2010q3</c:v>
                </c:pt>
                <c:pt idx="3">
                  <c:v>2010q4</c:v>
                </c:pt>
                <c:pt idx="4">
                  <c:v>2011q1</c:v>
                </c:pt>
                <c:pt idx="5">
                  <c:v>2011q2</c:v>
                </c:pt>
                <c:pt idx="6">
                  <c:v>2011q3</c:v>
                </c:pt>
                <c:pt idx="7">
                  <c:v>2011q4</c:v>
                </c:pt>
                <c:pt idx="8">
                  <c:v>2012q1</c:v>
                </c:pt>
                <c:pt idx="9">
                  <c:v>2012q2</c:v>
                </c:pt>
                <c:pt idx="10">
                  <c:v>2012q3</c:v>
                </c:pt>
                <c:pt idx="11">
                  <c:v>2012q4</c:v>
                </c:pt>
                <c:pt idx="12">
                  <c:v>2013q1</c:v>
                </c:pt>
                <c:pt idx="13">
                  <c:v>2013q2</c:v>
                </c:pt>
                <c:pt idx="14">
                  <c:v>2013q3</c:v>
                </c:pt>
                <c:pt idx="15">
                  <c:v>2013q4</c:v>
                </c:pt>
                <c:pt idx="16">
                  <c:v>2014q1</c:v>
                </c:pt>
                <c:pt idx="17">
                  <c:v>2014q2</c:v>
                </c:pt>
                <c:pt idx="18">
                  <c:v>2014q3</c:v>
                </c:pt>
                <c:pt idx="19">
                  <c:v>2014q4</c:v>
                </c:pt>
                <c:pt idx="20">
                  <c:v>2015q1</c:v>
                </c:pt>
                <c:pt idx="21">
                  <c:v>2015q2</c:v>
                </c:pt>
                <c:pt idx="22">
                  <c:v>2015q3</c:v>
                </c:pt>
                <c:pt idx="23">
                  <c:v>2015q4</c:v>
                </c:pt>
                <c:pt idx="24">
                  <c:v>2016q1</c:v>
                </c:pt>
                <c:pt idx="25">
                  <c:v>2016q2</c:v>
                </c:pt>
                <c:pt idx="26">
                  <c:v>2016q3</c:v>
                </c:pt>
                <c:pt idx="27">
                  <c:v>2016q4</c:v>
                </c:pt>
                <c:pt idx="28">
                  <c:v>2017q1</c:v>
                </c:pt>
                <c:pt idx="29">
                  <c:v>2017q2</c:v>
                </c:pt>
                <c:pt idx="30">
                  <c:v>2017q3</c:v>
                </c:pt>
                <c:pt idx="31">
                  <c:v>2017q4</c:v>
                </c:pt>
                <c:pt idx="32">
                  <c:v>2018q1</c:v>
                </c:pt>
                <c:pt idx="33">
                  <c:v>2018q2</c:v>
                </c:pt>
                <c:pt idx="34">
                  <c:v>2018q3</c:v>
                </c:pt>
                <c:pt idx="35">
                  <c:v>2018q4</c:v>
                </c:pt>
              </c:strCache>
            </c:strRef>
          </c:cat>
          <c:val>
            <c:numRef>
              <c:f>Sheet1!$B$32:$B$67</c:f>
              <c:numCache>
                <c:formatCode>General</c:formatCode>
                <c:ptCount val="36"/>
                <c:pt idx="0">
                  <c:v>25.6</c:v>
                </c:pt>
                <c:pt idx="1">
                  <c:v>24.4</c:v>
                </c:pt>
                <c:pt idx="2">
                  <c:v>22</c:v>
                </c:pt>
                <c:pt idx="3">
                  <c:v>23.2</c:v>
                </c:pt>
                <c:pt idx="4">
                  <c:v>25</c:v>
                </c:pt>
                <c:pt idx="5">
                  <c:v>26.2</c:v>
                </c:pt>
                <c:pt idx="6">
                  <c:v>23.5</c:v>
                </c:pt>
                <c:pt idx="7">
                  <c:v>20.5</c:v>
                </c:pt>
                <c:pt idx="8">
                  <c:v>20.9</c:v>
                </c:pt>
                <c:pt idx="9">
                  <c:v>19.899999999999999</c:v>
                </c:pt>
                <c:pt idx="10">
                  <c:v>20.7</c:v>
                </c:pt>
                <c:pt idx="11">
                  <c:v>20.9</c:v>
                </c:pt>
                <c:pt idx="12">
                  <c:v>20.9</c:v>
                </c:pt>
                <c:pt idx="13">
                  <c:v>19.3</c:v>
                </c:pt>
                <c:pt idx="14">
                  <c:v>20.399999999999999</c:v>
                </c:pt>
                <c:pt idx="15">
                  <c:v>17.8</c:v>
                </c:pt>
                <c:pt idx="16">
                  <c:v>17.600000000000001</c:v>
                </c:pt>
                <c:pt idx="17">
                  <c:v>17</c:v>
                </c:pt>
                <c:pt idx="18">
                  <c:v>13.7</c:v>
                </c:pt>
                <c:pt idx="19">
                  <c:v>14.5</c:v>
                </c:pt>
                <c:pt idx="20">
                  <c:v>13.5</c:v>
                </c:pt>
                <c:pt idx="21">
                  <c:v>9.3000000000000007</c:v>
                </c:pt>
                <c:pt idx="22">
                  <c:v>8.1</c:v>
                </c:pt>
                <c:pt idx="23">
                  <c:v>9.1</c:v>
                </c:pt>
                <c:pt idx="24">
                  <c:v>10.7</c:v>
                </c:pt>
                <c:pt idx="25">
                  <c:v>7.3</c:v>
                </c:pt>
                <c:pt idx="26">
                  <c:v>6.6</c:v>
                </c:pt>
                <c:pt idx="27">
                  <c:v>7.8</c:v>
                </c:pt>
                <c:pt idx="28">
                  <c:v>9.2000000000000011</c:v>
                </c:pt>
                <c:pt idx="29">
                  <c:v>8</c:v>
                </c:pt>
                <c:pt idx="30">
                  <c:v>6.1</c:v>
                </c:pt>
                <c:pt idx="31">
                  <c:v>5.5</c:v>
                </c:pt>
                <c:pt idx="32">
                  <c:v>6.2</c:v>
                </c:pt>
                <c:pt idx="33">
                  <c:v>5.8</c:v>
                </c:pt>
                <c:pt idx="34">
                  <c:v>4.2</c:v>
                </c:pt>
                <c:pt idx="35">
                  <c:v>7.4</c:v>
                </c:pt>
              </c:numCache>
            </c:numRef>
          </c:val>
        </c:ser>
        <c:ser>
          <c:idx val="1"/>
          <c:order val="1"/>
          <c:tx>
            <c:strRef>
              <c:f>消费品零售总额</c:f>
              <c:strCache>
                <c:ptCount val="1"/>
                <c:pt idx="0">
                  <c:v>消费品零售总额</c:v>
                </c:pt>
              </c:strCache>
            </c:strRef>
          </c:tx>
          <c:spPr>
            <a:ln w="12700" cap="rnd" cmpd="sng" algn="ctr">
              <a:solidFill>
                <a:srgbClr val="FF00FF"/>
              </a:solidFill>
              <a:prstDash val="solid"/>
              <a:round/>
            </a:ln>
          </c:spPr>
          <c:marker>
            <c:symbol val="square"/>
            <c:size val="5"/>
            <c:spPr>
              <a:solidFill>
                <a:srgbClr val="FF00FF"/>
              </a:solidFill>
              <a:ln w="9525" cap="flat" cmpd="sng" algn="ctr">
                <a:solidFill>
                  <a:srgbClr val="FF00FF"/>
                </a:solidFill>
                <a:prstDash val="solid"/>
                <a:round/>
              </a:ln>
            </c:spPr>
          </c:marker>
          <c:cat>
            <c:strRef>
              <c:f>Sheet1!$A$32:$A$67</c:f>
              <c:strCache>
                <c:ptCount val="36"/>
                <c:pt idx="0">
                  <c:v>2010q1</c:v>
                </c:pt>
                <c:pt idx="1">
                  <c:v>2010q2</c:v>
                </c:pt>
                <c:pt idx="2">
                  <c:v>2010q3</c:v>
                </c:pt>
                <c:pt idx="3">
                  <c:v>2010q4</c:v>
                </c:pt>
                <c:pt idx="4">
                  <c:v>2011q1</c:v>
                </c:pt>
                <c:pt idx="5">
                  <c:v>2011q2</c:v>
                </c:pt>
                <c:pt idx="6">
                  <c:v>2011q3</c:v>
                </c:pt>
                <c:pt idx="7">
                  <c:v>2011q4</c:v>
                </c:pt>
                <c:pt idx="8">
                  <c:v>2012q1</c:v>
                </c:pt>
                <c:pt idx="9">
                  <c:v>2012q2</c:v>
                </c:pt>
                <c:pt idx="10">
                  <c:v>2012q3</c:v>
                </c:pt>
                <c:pt idx="11">
                  <c:v>2012q4</c:v>
                </c:pt>
                <c:pt idx="12">
                  <c:v>2013q1</c:v>
                </c:pt>
                <c:pt idx="13">
                  <c:v>2013q2</c:v>
                </c:pt>
                <c:pt idx="14">
                  <c:v>2013q3</c:v>
                </c:pt>
                <c:pt idx="15">
                  <c:v>2013q4</c:v>
                </c:pt>
                <c:pt idx="16">
                  <c:v>2014q1</c:v>
                </c:pt>
                <c:pt idx="17">
                  <c:v>2014q2</c:v>
                </c:pt>
                <c:pt idx="18">
                  <c:v>2014q3</c:v>
                </c:pt>
                <c:pt idx="19">
                  <c:v>2014q4</c:v>
                </c:pt>
                <c:pt idx="20">
                  <c:v>2015q1</c:v>
                </c:pt>
                <c:pt idx="21">
                  <c:v>2015q2</c:v>
                </c:pt>
                <c:pt idx="22">
                  <c:v>2015q3</c:v>
                </c:pt>
                <c:pt idx="23">
                  <c:v>2015q4</c:v>
                </c:pt>
                <c:pt idx="24">
                  <c:v>2016q1</c:v>
                </c:pt>
                <c:pt idx="25">
                  <c:v>2016q2</c:v>
                </c:pt>
                <c:pt idx="26">
                  <c:v>2016q3</c:v>
                </c:pt>
                <c:pt idx="27">
                  <c:v>2016q4</c:v>
                </c:pt>
                <c:pt idx="28">
                  <c:v>2017q1</c:v>
                </c:pt>
                <c:pt idx="29">
                  <c:v>2017q2</c:v>
                </c:pt>
                <c:pt idx="30">
                  <c:v>2017q3</c:v>
                </c:pt>
                <c:pt idx="31">
                  <c:v>2017q4</c:v>
                </c:pt>
                <c:pt idx="32">
                  <c:v>2018q1</c:v>
                </c:pt>
                <c:pt idx="33">
                  <c:v>2018q2</c:v>
                </c:pt>
                <c:pt idx="34">
                  <c:v>2018q3</c:v>
                </c:pt>
                <c:pt idx="35">
                  <c:v>2018q4</c:v>
                </c:pt>
              </c:strCache>
            </c:strRef>
          </c:cat>
          <c:val>
            <c:numRef>
              <c:f>Sheet1!$C$32:$C$67</c:f>
              <c:numCache>
                <c:formatCode>General</c:formatCode>
                <c:ptCount val="36"/>
                <c:pt idx="0">
                  <c:v>17.899999999999999</c:v>
                </c:pt>
                <c:pt idx="1">
                  <c:v>18.5</c:v>
                </c:pt>
                <c:pt idx="2">
                  <c:v>18.5</c:v>
                </c:pt>
                <c:pt idx="3">
                  <c:v>18.7</c:v>
                </c:pt>
                <c:pt idx="4">
                  <c:v>16.3</c:v>
                </c:pt>
                <c:pt idx="5">
                  <c:v>17.3</c:v>
                </c:pt>
                <c:pt idx="6">
                  <c:v>17.399999999999999</c:v>
                </c:pt>
                <c:pt idx="7">
                  <c:v>17.399999999999999</c:v>
                </c:pt>
                <c:pt idx="8">
                  <c:v>14.8</c:v>
                </c:pt>
                <c:pt idx="9">
                  <c:v>14</c:v>
                </c:pt>
                <c:pt idx="10">
                  <c:v>13.5</c:v>
                </c:pt>
                <c:pt idx="11">
                  <c:v>14.9</c:v>
                </c:pt>
                <c:pt idx="12">
                  <c:v>12.4</c:v>
                </c:pt>
                <c:pt idx="13">
                  <c:v>13</c:v>
                </c:pt>
                <c:pt idx="14">
                  <c:v>13.3</c:v>
                </c:pt>
                <c:pt idx="15">
                  <c:v>13.7</c:v>
                </c:pt>
                <c:pt idx="16">
                  <c:v>12</c:v>
                </c:pt>
                <c:pt idx="17">
                  <c:v>12.2</c:v>
                </c:pt>
                <c:pt idx="18">
                  <c:v>11.8</c:v>
                </c:pt>
                <c:pt idx="19">
                  <c:v>12</c:v>
                </c:pt>
                <c:pt idx="20">
                  <c:v>10.6</c:v>
                </c:pt>
                <c:pt idx="21">
                  <c:v>10.200000000000001</c:v>
                </c:pt>
                <c:pt idx="22">
                  <c:v>10.7</c:v>
                </c:pt>
                <c:pt idx="23">
                  <c:v>11.3</c:v>
                </c:pt>
                <c:pt idx="24">
                  <c:v>10.3</c:v>
                </c:pt>
                <c:pt idx="25">
                  <c:v>10.3</c:v>
                </c:pt>
                <c:pt idx="26">
                  <c:v>10.6</c:v>
                </c:pt>
                <c:pt idx="27">
                  <c:v>10.4</c:v>
                </c:pt>
                <c:pt idx="28">
                  <c:v>10</c:v>
                </c:pt>
                <c:pt idx="29">
                  <c:v>10.8</c:v>
                </c:pt>
                <c:pt idx="30">
                  <c:v>10.4</c:v>
                </c:pt>
                <c:pt idx="31">
                  <c:v>9.6</c:v>
                </c:pt>
                <c:pt idx="32">
                  <c:v>9.8000000000000007</c:v>
                </c:pt>
                <c:pt idx="33">
                  <c:v>9</c:v>
                </c:pt>
                <c:pt idx="34">
                  <c:v>9.1</c:v>
                </c:pt>
                <c:pt idx="35">
                  <c:v>8.1</c:v>
                </c:pt>
              </c:numCache>
            </c:numRef>
          </c:val>
        </c:ser>
        <c:marker val="1"/>
        <c:axId val="177761664"/>
        <c:axId val="178566656"/>
      </c:lineChart>
      <c:catAx>
        <c:axId val="177761664"/>
        <c:scaling>
          <c:orientation val="minMax"/>
        </c:scaling>
        <c:axPos val="b"/>
        <c:numFmt formatCode="General" sourceLinked="1"/>
        <c:majorTickMark val="in"/>
        <c:tickLblPos val="nextTo"/>
        <c:spPr>
          <a:ln w="3175" cap="flat" cmpd="sng" algn="ctr">
            <a:solidFill>
              <a:srgbClr val="000000"/>
            </a:solidFill>
            <a:prstDash val="solid"/>
            <a:round/>
          </a:ln>
        </c:spPr>
        <c:txPr>
          <a:bodyPr rot="-540000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178566656"/>
        <c:crosses val="autoZero"/>
        <c:auto val="1"/>
        <c:lblAlgn val="ctr"/>
        <c:lblOffset val="100"/>
        <c:tickLblSkip val="1"/>
      </c:catAx>
      <c:valAx>
        <c:axId val="178566656"/>
        <c:scaling>
          <c:orientation val="minMax"/>
        </c:scaling>
        <c:axPos val="l"/>
        <c:majorGridlines>
          <c:spPr>
            <a:ln w="3175" cap="flat" cmpd="sng" algn="ctr">
              <a:solidFill>
                <a:srgbClr val="000000"/>
              </a:solidFill>
              <a:prstDash val="solid"/>
              <a:round/>
            </a:ln>
          </c:spPr>
        </c:majorGridlines>
        <c:numFmt formatCode="General" sourceLinked="1"/>
        <c:majorTickMark val="in"/>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177761664"/>
        <c:crosses val="autoZero"/>
        <c:crossBetween val="midCat"/>
      </c:valAx>
      <c:spPr>
        <a:solidFill>
          <a:srgbClr val="FFFFFF"/>
        </a:solidFill>
        <a:ln w="12700">
          <a:solidFill>
            <a:srgbClr val="808080"/>
          </a:solidFill>
          <a:prstDash val="solid"/>
        </a:ln>
      </c:spPr>
    </c:plotArea>
    <c:legend>
      <c:legendPos val="b"/>
      <c:layout>
        <c:manualLayout>
          <c:xMode val="edge"/>
          <c:yMode val="edge"/>
          <c:x val="0.22027331378899301"/>
          <c:y val="0.90967877402421504"/>
          <c:w val="0.55945521429704403"/>
          <c:h val="7.0967741935484024E-2"/>
        </c:manualLayout>
      </c:layout>
      <c:spPr>
        <a:solidFill>
          <a:srgbClr val="FFFFFF"/>
        </a:solidFill>
        <a:ln w="25400">
          <a:noFill/>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gap"/>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a:defRPr lang="zh-CN" sz="10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r>
              <a:rPr lang="zh-CN" altLang="en-US" sz="1200" b="0" i="0" u="none" strike="noStrike" baseline="0">
                <a:solidFill>
                  <a:srgbClr val="000000"/>
                </a:solidFill>
                <a:latin typeface="Arial" panose="020B0604020202020204" pitchFamily="2"/>
                <a:cs typeface="Arial" panose="020B0604020202020204" pitchFamily="2"/>
              </a:rPr>
              <a:t>进出口单季增长率与贸易顺差单季值（%，亿美元）</a:t>
            </a:r>
          </a:p>
        </c:rich>
      </c:tx>
      <c:layout>
        <c:manualLayout>
          <c:xMode val="edge"/>
          <c:yMode val="edge"/>
          <c:x val="0.18619146290924204"/>
          <c:y val="6.1290322580645214E-2"/>
        </c:manualLayout>
      </c:layout>
      <c:spPr>
        <a:noFill/>
        <a:ln w="25400">
          <a:noFill/>
        </a:ln>
      </c:spPr>
    </c:title>
    <c:plotArea>
      <c:layout>
        <c:manualLayout>
          <c:layoutTarget val="inner"/>
          <c:xMode val="edge"/>
          <c:yMode val="edge"/>
          <c:x val="7.640074245339562E-2"/>
          <c:y val="0.19677450348806597"/>
          <c:w val="0.83191919560364203"/>
          <c:h val="0.65161392958343445"/>
        </c:manualLayout>
      </c:layout>
      <c:barChart>
        <c:barDir val="col"/>
        <c:grouping val="clustered"/>
        <c:ser>
          <c:idx val="2"/>
          <c:order val="2"/>
          <c:tx>
            <c:strRef>
              <c:f>顺差</c:f>
              <c:strCache>
                <c:ptCount val="1"/>
                <c:pt idx="0">
                  <c:v>顺差</c:v>
                </c:pt>
              </c:strCache>
            </c:strRef>
          </c:tx>
          <c:spPr>
            <a:ln w="12700">
              <a:solidFill>
                <a:srgbClr val="800080"/>
              </a:solidFill>
              <a:prstDash val="solid"/>
            </a:ln>
          </c:spPr>
          <c:cat>
            <c:strRef>
              <c:f>进出口增长率及汇率!$A$32:$A$67</c:f>
              <c:strCache>
                <c:ptCount val="36"/>
                <c:pt idx="0">
                  <c:v>2010q1</c:v>
                </c:pt>
                <c:pt idx="1">
                  <c:v>2010q2</c:v>
                </c:pt>
                <c:pt idx="2">
                  <c:v>2010q3</c:v>
                </c:pt>
                <c:pt idx="3">
                  <c:v>2010q4</c:v>
                </c:pt>
                <c:pt idx="4">
                  <c:v>2011q1</c:v>
                </c:pt>
                <c:pt idx="5">
                  <c:v>2011q2</c:v>
                </c:pt>
                <c:pt idx="6">
                  <c:v>2011q3</c:v>
                </c:pt>
                <c:pt idx="7">
                  <c:v>2011q4</c:v>
                </c:pt>
                <c:pt idx="8">
                  <c:v>2012q1</c:v>
                </c:pt>
                <c:pt idx="9">
                  <c:v>2012q2</c:v>
                </c:pt>
                <c:pt idx="10">
                  <c:v>2012q3</c:v>
                </c:pt>
                <c:pt idx="11">
                  <c:v>2012q4</c:v>
                </c:pt>
                <c:pt idx="12">
                  <c:v>2013q1</c:v>
                </c:pt>
                <c:pt idx="13">
                  <c:v>2013q2</c:v>
                </c:pt>
                <c:pt idx="14">
                  <c:v>2013q3</c:v>
                </c:pt>
                <c:pt idx="15">
                  <c:v>2013q4</c:v>
                </c:pt>
                <c:pt idx="16">
                  <c:v>2014q1</c:v>
                </c:pt>
                <c:pt idx="17">
                  <c:v>2014q2</c:v>
                </c:pt>
                <c:pt idx="18">
                  <c:v>2014q3</c:v>
                </c:pt>
                <c:pt idx="19">
                  <c:v>2014q4</c:v>
                </c:pt>
                <c:pt idx="20">
                  <c:v>2015q1</c:v>
                </c:pt>
                <c:pt idx="21">
                  <c:v>2015q2</c:v>
                </c:pt>
                <c:pt idx="22">
                  <c:v>2015q3</c:v>
                </c:pt>
                <c:pt idx="23">
                  <c:v>2015q4</c:v>
                </c:pt>
                <c:pt idx="24">
                  <c:v>2016q1</c:v>
                </c:pt>
                <c:pt idx="25">
                  <c:v>2016q2</c:v>
                </c:pt>
                <c:pt idx="26">
                  <c:v>2016q3</c:v>
                </c:pt>
                <c:pt idx="27">
                  <c:v>2016q4</c:v>
                </c:pt>
                <c:pt idx="28">
                  <c:v>2017q1</c:v>
                </c:pt>
                <c:pt idx="29">
                  <c:v>2017q2</c:v>
                </c:pt>
                <c:pt idx="30">
                  <c:v>2017q3</c:v>
                </c:pt>
                <c:pt idx="31">
                  <c:v>2017q4</c:v>
                </c:pt>
                <c:pt idx="32">
                  <c:v>2018q1</c:v>
                </c:pt>
                <c:pt idx="33">
                  <c:v>2018q2</c:v>
                </c:pt>
                <c:pt idx="34">
                  <c:v>2018q3</c:v>
                </c:pt>
                <c:pt idx="35">
                  <c:v>2018q4</c:v>
                </c:pt>
              </c:strCache>
            </c:strRef>
          </c:cat>
          <c:val>
            <c:numRef>
              <c:f>进出口增长率及汇率!$D$32:$D$67</c:f>
              <c:numCache>
                <c:formatCode>General</c:formatCode>
                <c:ptCount val="36"/>
                <c:pt idx="0">
                  <c:v>144.9</c:v>
                </c:pt>
                <c:pt idx="1">
                  <c:v>408.1</c:v>
                </c:pt>
                <c:pt idx="2">
                  <c:v>653</c:v>
                </c:pt>
                <c:pt idx="3">
                  <c:v>625</c:v>
                </c:pt>
                <c:pt idx="4">
                  <c:v>-10</c:v>
                </c:pt>
                <c:pt idx="5">
                  <c:v>-8.2000000000000011</c:v>
                </c:pt>
                <c:pt idx="6">
                  <c:v>18.899999999999999</c:v>
                </c:pt>
                <c:pt idx="7">
                  <c:v>-3.4</c:v>
                </c:pt>
                <c:pt idx="8">
                  <c:v>6.7</c:v>
                </c:pt>
                <c:pt idx="9">
                  <c:v>682.5</c:v>
                </c:pt>
                <c:pt idx="10">
                  <c:v>800.5</c:v>
                </c:pt>
                <c:pt idx="11">
                  <c:v>821.3</c:v>
                </c:pt>
                <c:pt idx="12">
                  <c:v>430.7</c:v>
                </c:pt>
                <c:pt idx="13">
                  <c:v>648.79999999999995</c:v>
                </c:pt>
                <c:pt idx="14">
                  <c:v>614.5</c:v>
                </c:pt>
                <c:pt idx="15">
                  <c:v>903.5</c:v>
                </c:pt>
                <c:pt idx="16">
                  <c:v>167.4</c:v>
                </c:pt>
                <c:pt idx="17">
                  <c:v>861.3</c:v>
                </c:pt>
                <c:pt idx="18">
                  <c:v>1287.3</c:v>
                </c:pt>
                <c:pt idx="19">
                  <c:v>1508.6</c:v>
                </c:pt>
                <c:pt idx="20">
                  <c:v>1237</c:v>
                </c:pt>
                <c:pt idx="21">
                  <c:v>1364</c:v>
                </c:pt>
                <c:pt idx="22">
                  <c:v>1493</c:v>
                </c:pt>
                <c:pt idx="23">
                  <c:v>1490</c:v>
                </c:pt>
                <c:pt idx="24">
                  <c:v>1257</c:v>
                </c:pt>
                <c:pt idx="25">
                  <c:v>1325</c:v>
                </c:pt>
                <c:pt idx="26">
                  <c:v>1334</c:v>
                </c:pt>
                <c:pt idx="27">
                  <c:v>900</c:v>
                </c:pt>
                <c:pt idx="28">
                  <c:v>660.6</c:v>
                </c:pt>
                <c:pt idx="29">
                  <c:v>1886.8</c:v>
                </c:pt>
                <c:pt idx="30">
                  <c:v>514.5</c:v>
                </c:pt>
                <c:pt idx="31">
                  <c:v>1480</c:v>
                </c:pt>
                <c:pt idx="32">
                  <c:v>518.70000000000005</c:v>
                </c:pt>
                <c:pt idx="33">
                  <c:v>826</c:v>
                </c:pt>
                <c:pt idx="34">
                  <c:v>738</c:v>
                </c:pt>
                <c:pt idx="35">
                  <c:v>1284</c:v>
                </c:pt>
              </c:numCache>
            </c:numRef>
          </c:val>
        </c:ser>
        <c:gapWidth val="210"/>
        <c:axId val="147317120"/>
        <c:axId val="147318656"/>
      </c:barChart>
      <c:lineChart>
        <c:grouping val="standard"/>
        <c:ser>
          <c:idx val="1"/>
          <c:order val="0"/>
          <c:tx>
            <c:strRef>
              <c:f>进口</c:f>
              <c:strCache>
                <c:ptCount val="1"/>
                <c:pt idx="0">
                  <c:v>进口</c:v>
                </c:pt>
              </c:strCache>
            </c:strRef>
          </c:tx>
          <c:spPr>
            <a:ln w="12700" cap="rnd" cmpd="sng" algn="ctr">
              <a:solidFill>
                <a:srgbClr val="FF00FF"/>
              </a:solidFill>
              <a:prstDash val="solid"/>
              <a:round/>
            </a:ln>
          </c:spPr>
          <c:marker>
            <c:symbol val="square"/>
            <c:size val="5"/>
            <c:spPr>
              <a:solidFill>
                <a:srgbClr val="FF00FF"/>
              </a:solidFill>
              <a:ln w="9525" cap="flat" cmpd="sng" algn="ctr">
                <a:solidFill>
                  <a:srgbClr val="FF00FF"/>
                </a:solidFill>
                <a:prstDash val="solid"/>
                <a:round/>
              </a:ln>
            </c:spPr>
          </c:marker>
          <c:cat>
            <c:strRef>
              <c:f>进出口增长率及汇率!$A$32:$A$67</c:f>
              <c:strCache>
                <c:ptCount val="36"/>
                <c:pt idx="0">
                  <c:v>2010q1</c:v>
                </c:pt>
                <c:pt idx="1">
                  <c:v>2010q2</c:v>
                </c:pt>
                <c:pt idx="2">
                  <c:v>2010q3</c:v>
                </c:pt>
                <c:pt idx="3">
                  <c:v>2010q4</c:v>
                </c:pt>
                <c:pt idx="4">
                  <c:v>2011q1</c:v>
                </c:pt>
                <c:pt idx="5">
                  <c:v>2011q2</c:v>
                </c:pt>
                <c:pt idx="6">
                  <c:v>2011q3</c:v>
                </c:pt>
                <c:pt idx="7">
                  <c:v>2011q4</c:v>
                </c:pt>
                <c:pt idx="8">
                  <c:v>2012q1</c:v>
                </c:pt>
                <c:pt idx="9">
                  <c:v>2012q2</c:v>
                </c:pt>
                <c:pt idx="10">
                  <c:v>2012q3</c:v>
                </c:pt>
                <c:pt idx="11">
                  <c:v>2012q4</c:v>
                </c:pt>
                <c:pt idx="12">
                  <c:v>2013q1</c:v>
                </c:pt>
                <c:pt idx="13">
                  <c:v>2013q2</c:v>
                </c:pt>
                <c:pt idx="14">
                  <c:v>2013q3</c:v>
                </c:pt>
                <c:pt idx="15">
                  <c:v>2013q4</c:v>
                </c:pt>
                <c:pt idx="16">
                  <c:v>2014q1</c:v>
                </c:pt>
                <c:pt idx="17">
                  <c:v>2014q2</c:v>
                </c:pt>
                <c:pt idx="18">
                  <c:v>2014q3</c:v>
                </c:pt>
                <c:pt idx="19">
                  <c:v>2014q4</c:v>
                </c:pt>
                <c:pt idx="20">
                  <c:v>2015q1</c:v>
                </c:pt>
                <c:pt idx="21">
                  <c:v>2015q2</c:v>
                </c:pt>
                <c:pt idx="22">
                  <c:v>2015q3</c:v>
                </c:pt>
                <c:pt idx="23">
                  <c:v>2015q4</c:v>
                </c:pt>
                <c:pt idx="24">
                  <c:v>2016q1</c:v>
                </c:pt>
                <c:pt idx="25">
                  <c:v>2016q2</c:v>
                </c:pt>
                <c:pt idx="26">
                  <c:v>2016q3</c:v>
                </c:pt>
                <c:pt idx="27">
                  <c:v>2016q4</c:v>
                </c:pt>
                <c:pt idx="28">
                  <c:v>2017q1</c:v>
                </c:pt>
                <c:pt idx="29">
                  <c:v>2017q2</c:v>
                </c:pt>
                <c:pt idx="30">
                  <c:v>2017q3</c:v>
                </c:pt>
                <c:pt idx="31">
                  <c:v>2017q4</c:v>
                </c:pt>
                <c:pt idx="32">
                  <c:v>2018q1</c:v>
                </c:pt>
                <c:pt idx="33">
                  <c:v>2018q2</c:v>
                </c:pt>
                <c:pt idx="34">
                  <c:v>2018q3</c:v>
                </c:pt>
                <c:pt idx="35">
                  <c:v>2018q4</c:v>
                </c:pt>
              </c:strCache>
            </c:strRef>
          </c:cat>
          <c:val>
            <c:numRef>
              <c:f>进出口增长率及汇率!$B$32:$B$67</c:f>
              <c:numCache>
                <c:formatCode>General</c:formatCode>
                <c:ptCount val="36"/>
                <c:pt idx="0">
                  <c:v>64.599999999999994</c:v>
                </c:pt>
                <c:pt idx="1">
                  <c:v>40.800000000000004</c:v>
                </c:pt>
                <c:pt idx="2">
                  <c:v>21.8</c:v>
                </c:pt>
                <c:pt idx="3">
                  <c:v>27.6</c:v>
                </c:pt>
                <c:pt idx="4">
                  <c:v>32.6</c:v>
                </c:pt>
                <c:pt idx="5">
                  <c:v>22.6</c:v>
                </c:pt>
                <c:pt idx="6">
                  <c:v>24.9</c:v>
                </c:pt>
                <c:pt idx="7">
                  <c:v>19.5</c:v>
                </c:pt>
                <c:pt idx="8">
                  <c:v>6.9</c:v>
                </c:pt>
                <c:pt idx="9">
                  <c:v>6.5</c:v>
                </c:pt>
                <c:pt idx="10">
                  <c:v>1</c:v>
                </c:pt>
                <c:pt idx="11">
                  <c:v>2.8</c:v>
                </c:pt>
                <c:pt idx="12">
                  <c:v>8.4</c:v>
                </c:pt>
                <c:pt idx="13">
                  <c:v>5</c:v>
                </c:pt>
                <c:pt idx="14">
                  <c:v>8.5</c:v>
                </c:pt>
                <c:pt idx="15">
                  <c:v>7.3</c:v>
                </c:pt>
                <c:pt idx="16">
                  <c:v>1.6</c:v>
                </c:pt>
                <c:pt idx="17">
                  <c:v>1.4</c:v>
                </c:pt>
                <c:pt idx="18">
                  <c:v>0.9</c:v>
                </c:pt>
                <c:pt idx="19">
                  <c:v>-6.3</c:v>
                </c:pt>
                <c:pt idx="20">
                  <c:v>-17.3</c:v>
                </c:pt>
                <c:pt idx="21">
                  <c:v>-13.7</c:v>
                </c:pt>
                <c:pt idx="22">
                  <c:v>-14.3</c:v>
                </c:pt>
                <c:pt idx="23">
                  <c:v>-7.5</c:v>
                </c:pt>
                <c:pt idx="24">
                  <c:v>-8.2000000000000011</c:v>
                </c:pt>
                <c:pt idx="25">
                  <c:v>-6</c:v>
                </c:pt>
                <c:pt idx="26">
                  <c:v>7.3</c:v>
                </c:pt>
                <c:pt idx="27">
                  <c:v>9.3000000000000007</c:v>
                </c:pt>
                <c:pt idx="28">
                  <c:v>31.1</c:v>
                </c:pt>
                <c:pt idx="29">
                  <c:v>20.3</c:v>
                </c:pt>
                <c:pt idx="30">
                  <c:v>15.5</c:v>
                </c:pt>
                <c:pt idx="31">
                  <c:v>7.9</c:v>
                </c:pt>
                <c:pt idx="32">
                  <c:v>11.9</c:v>
                </c:pt>
                <c:pt idx="33">
                  <c:v>11.1</c:v>
                </c:pt>
                <c:pt idx="34">
                  <c:v>6.7</c:v>
                </c:pt>
                <c:pt idx="35">
                  <c:v>21.9</c:v>
                </c:pt>
              </c:numCache>
            </c:numRef>
          </c:val>
        </c:ser>
        <c:ser>
          <c:idx val="0"/>
          <c:order val="1"/>
          <c:tx>
            <c:strRef>
              <c:f>出口</c:f>
              <c:strCache>
                <c:ptCount val="1"/>
                <c:pt idx="0">
                  <c:v>出口</c:v>
                </c:pt>
              </c:strCache>
            </c:strRef>
          </c:tx>
          <c:spPr>
            <a:ln w="12700" cap="rnd" cmpd="sng" algn="ctr">
              <a:solidFill>
                <a:srgbClr val="000080"/>
              </a:solidFill>
              <a:prstDash val="solid"/>
              <a:round/>
            </a:ln>
          </c:spPr>
          <c:marker>
            <c:symbol val="diamond"/>
            <c:size val="5"/>
            <c:spPr>
              <a:solidFill>
                <a:srgbClr val="000080"/>
              </a:solidFill>
              <a:ln w="9525" cap="flat" cmpd="sng" algn="ctr">
                <a:solidFill>
                  <a:srgbClr val="000080"/>
                </a:solidFill>
                <a:prstDash val="solid"/>
                <a:round/>
              </a:ln>
            </c:spPr>
          </c:marker>
          <c:cat>
            <c:strRef>
              <c:f>进出口增长率及汇率!$A$32:$A$67</c:f>
              <c:strCache>
                <c:ptCount val="36"/>
                <c:pt idx="0">
                  <c:v>2010q1</c:v>
                </c:pt>
                <c:pt idx="1">
                  <c:v>2010q2</c:v>
                </c:pt>
                <c:pt idx="2">
                  <c:v>2010q3</c:v>
                </c:pt>
                <c:pt idx="3">
                  <c:v>2010q4</c:v>
                </c:pt>
                <c:pt idx="4">
                  <c:v>2011q1</c:v>
                </c:pt>
                <c:pt idx="5">
                  <c:v>2011q2</c:v>
                </c:pt>
                <c:pt idx="6">
                  <c:v>2011q3</c:v>
                </c:pt>
                <c:pt idx="7">
                  <c:v>2011q4</c:v>
                </c:pt>
                <c:pt idx="8">
                  <c:v>2012q1</c:v>
                </c:pt>
                <c:pt idx="9">
                  <c:v>2012q2</c:v>
                </c:pt>
                <c:pt idx="10">
                  <c:v>2012q3</c:v>
                </c:pt>
                <c:pt idx="11">
                  <c:v>2012q4</c:v>
                </c:pt>
                <c:pt idx="12">
                  <c:v>2013q1</c:v>
                </c:pt>
                <c:pt idx="13">
                  <c:v>2013q2</c:v>
                </c:pt>
                <c:pt idx="14">
                  <c:v>2013q3</c:v>
                </c:pt>
                <c:pt idx="15">
                  <c:v>2013q4</c:v>
                </c:pt>
                <c:pt idx="16">
                  <c:v>2014q1</c:v>
                </c:pt>
                <c:pt idx="17">
                  <c:v>2014q2</c:v>
                </c:pt>
                <c:pt idx="18">
                  <c:v>2014q3</c:v>
                </c:pt>
                <c:pt idx="19">
                  <c:v>2014q4</c:v>
                </c:pt>
                <c:pt idx="20">
                  <c:v>2015q1</c:v>
                </c:pt>
                <c:pt idx="21">
                  <c:v>2015q2</c:v>
                </c:pt>
                <c:pt idx="22">
                  <c:v>2015q3</c:v>
                </c:pt>
                <c:pt idx="23">
                  <c:v>2015q4</c:v>
                </c:pt>
                <c:pt idx="24">
                  <c:v>2016q1</c:v>
                </c:pt>
                <c:pt idx="25">
                  <c:v>2016q2</c:v>
                </c:pt>
                <c:pt idx="26">
                  <c:v>2016q3</c:v>
                </c:pt>
                <c:pt idx="27">
                  <c:v>2016q4</c:v>
                </c:pt>
                <c:pt idx="28">
                  <c:v>2017q1</c:v>
                </c:pt>
                <c:pt idx="29">
                  <c:v>2017q2</c:v>
                </c:pt>
                <c:pt idx="30">
                  <c:v>2017q3</c:v>
                </c:pt>
                <c:pt idx="31">
                  <c:v>2017q4</c:v>
                </c:pt>
                <c:pt idx="32">
                  <c:v>2018q1</c:v>
                </c:pt>
                <c:pt idx="33">
                  <c:v>2018q2</c:v>
                </c:pt>
                <c:pt idx="34">
                  <c:v>2018q3</c:v>
                </c:pt>
                <c:pt idx="35">
                  <c:v>2018q4</c:v>
                </c:pt>
              </c:strCache>
            </c:strRef>
          </c:cat>
          <c:val>
            <c:numRef>
              <c:f>进出口增长率及汇率!$C$32:$C$67</c:f>
              <c:numCache>
                <c:formatCode>General</c:formatCode>
                <c:ptCount val="36"/>
                <c:pt idx="0">
                  <c:v>28.7</c:v>
                </c:pt>
                <c:pt idx="1">
                  <c:v>41.7</c:v>
                </c:pt>
                <c:pt idx="2">
                  <c:v>31.6</c:v>
                </c:pt>
                <c:pt idx="3">
                  <c:v>23.2</c:v>
                </c:pt>
                <c:pt idx="4">
                  <c:v>26.5</c:v>
                </c:pt>
                <c:pt idx="5">
                  <c:v>21.5</c:v>
                </c:pt>
                <c:pt idx="6">
                  <c:v>20.100000000000001</c:v>
                </c:pt>
                <c:pt idx="7">
                  <c:v>13.1</c:v>
                </c:pt>
                <c:pt idx="8">
                  <c:v>7.6</c:v>
                </c:pt>
                <c:pt idx="9">
                  <c:v>10.8</c:v>
                </c:pt>
                <c:pt idx="10">
                  <c:v>3.8</c:v>
                </c:pt>
                <c:pt idx="11">
                  <c:v>9.4</c:v>
                </c:pt>
                <c:pt idx="12">
                  <c:v>18.399999999999999</c:v>
                </c:pt>
                <c:pt idx="13">
                  <c:v>2.4</c:v>
                </c:pt>
                <c:pt idx="14">
                  <c:v>3.2</c:v>
                </c:pt>
                <c:pt idx="15">
                  <c:v>6.4</c:v>
                </c:pt>
                <c:pt idx="16">
                  <c:v>-3.4</c:v>
                </c:pt>
                <c:pt idx="17">
                  <c:v>5.2</c:v>
                </c:pt>
                <c:pt idx="18">
                  <c:v>13.5</c:v>
                </c:pt>
                <c:pt idx="19">
                  <c:v>4.3</c:v>
                </c:pt>
                <c:pt idx="20">
                  <c:v>4.9000000000000004</c:v>
                </c:pt>
                <c:pt idx="21">
                  <c:v>-3.1</c:v>
                </c:pt>
                <c:pt idx="22">
                  <c:v>-7.2</c:v>
                </c:pt>
                <c:pt idx="23">
                  <c:v>-1.8</c:v>
                </c:pt>
                <c:pt idx="24">
                  <c:v>-7.9</c:v>
                </c:pt>
                <c:pt idx="25">
                  <c:v>-0.8</c:v>
                </c:pt>
                <c:pt idx="26">
                  <c:v>-0.30000000000000021</c:v>
                </c:pt>
                <c:pt idx="27">
                  <c:v>0.30000000000000021</c:v>
                </c:pt>
                <c:pt idx="28">
                  <c:v>14.8</c:v>
                </c:pt>
                <c:pt idx="29">
                  <c:v>15.2</c:v>
                </c:pt>
                <c:pt idx="30">
                  <c:v>7.2</c:v>
                </c:pt>
                <c:pt idx="31">
                  <c:v>6</c:v>
                </c:pt>
                <c:pt idx="32">
                  <c:v>7.4</c:v>
                </c:pt>
                <c:pt idx="33">
                  <c:v>2.4</c:v>
                </c:pt>
                <c:pt idx="34">
                  <c:v>9.7000000000000011</c:v>
                </c:pt>
                <c:pt idx="35">
                  <c:v>8.9</c:v>
                </c:pt>
              </c:numCache>
            </c:numRef>
          </c:val>
        </c:ser>
        <c:marker val="1"/>
        <c:axId val="199367680"/>
        <c:axId val="227465856"/>
      </c:lineChart>
      <c:catAx>
        <c:axId val="199367680"/>
        <c:scaling>
          <c:orientation val="minMax"/>
        </c:scaling>
        <c:axPos val="b"/>
        <c:numFmt formatCode="General" sourceLinked="1"/>
        <c:majorTickMark val="in"/>
        <c:tickLblPos val="nextTo"/>
        <c:spPr>
          <a:ln w="3175" cap="flat" cmpd="sng" algn="ctr">
            <a:solidFill>
              <a:srgbClr val="000000"/>
            </a:solidFill>
            <a:prstDash val="solid"/>
            <a:round/>
          </a:ln>
        </c:spPr>
        <c:txPr>
          <a:bodyPr rot="-540000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227465856"/>
        <c:crosses val="autoZero"/>
        <c:lblAlgn val="ctr"/>
        <c:lblOffset val="100"/>
        <c:tickLblSkip val="1"/>
      </c:catAx>
      <c:valAx>
        <c:axId val="227465856"/>
        <c:scaling>
          <c:orientation val="minMax"/>
        </c:scaling>
        <c:axPos val="l"/>
        <c:numFmt formatCode="General" sourceLinked="1"/>
        <c:majorTickMark val="in"/>
        <c:tickLblPos val="nextTo"/>
        <c:spPr>
          <a:ln w="3175" cap="flat" cmpd="sng" algn="ctr">
            <a:solidFill>
              <a:srgbClr val="00000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endParaRPr lang="zh-CN"/>
          </a:p>
        </c:txPr>
        <c:crossAx val="199367680"/>
        <c:crosses val="autoZero"/>
        <c:crossBetween val="between"/>
      </c:valAx>
      <c:catAx>
        <c:axId val="147317120"/>
        <c:scaling>
          <c:orientation val="minMax"/>
        </c:scaling>
        <c:delete val="1"/>
        <c:axPos val="b"/>
        <c:numFmt formatCode="General" sourceLinked="1"/>
        <c:tickLblPos val="none"/>
        <c:crossAx val="147318656"/>
        <c:crosses val="autoZero"/>
        <c:lblAlgn val="ctr"/>
        <c:lblOffset val="100"/>
      </c:catAx>
      <c:valAx>
        <c:axId val="147318656"/>
        <c:scaling>
          <c:orientation val="minMax"/>
        </c:scaling>
        <c:axPos val="r"/>
        <c:numFmt formatCode="General" sourceLinked="1"/>
        <c:tickLblPos val="nextTo"/>
        <c:spPr>
          <a:ln w="9525" cap="flat" cmpd="sng" algn="ctr">
            <a:solidFill>
              <a:schemeClr val="tx1">
                <a:tint val="75000"/>
                <a:shade val="95000"/>
                <a:satMod val="105000"/>
              </a:schemeClr>
            </a:solidFill>
            <a:prstDash val="solid"/>
            <a:round/>
          </a:ln>
        </c:spPr>
        <c:txPr>
          <a:bodyPr rot="-60000000" spcFirstLastPara="0" vertOverflow="ellipsis" vert="horz" wrap="square" anchor="ctr" anchorCtr="1"/>
          <a:lstStyle/>
          <a:p>
            <a:pPr>
              <a:defRPr lang="zh-CN" sz="10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endParaRPr lang="zh-CN"/>
          </a:p>
        </c:txPr>
        <c:crossAx val="147317120"/>
        <c:crosses val="max"/>
        <c:crossBetween val="between"/>
      </c:valAx>
      <c:spPr>
        <a:solidFill>
          <a:srgbClr val="FFFFFF"/>
        </a:solidFill>
        <a:ln w="12700">
          <a:solidFill>
            <a:srgbClr val="808080"/>
          </a:solidFill>
          <a:prstDash val="solid"/>
        </a:ln>
      </c:spPr>
    </c:plotArea>
    <c:legend>
      <c:legendPos val="r"/>
      <c:layout>
        <c:manualLayout>
          <c:xMode val="edge"/>
          <c:yMode val="edge"/>
          <c:x val="0.33106960950764253"/>
          <c:y val="0.90322580645161443"/>
          <c:w val="0.32088285229202251"/>
          <c:h val="6.4516129032258132E-2"/>
        </c:manualLayout>
      </c:layout>
      <c:spPr>
        <a:solidFill>
          <a:srgbClr val="FFFFFF"/>
        </a:solidFill>
        <a:ln w="25400">
          <a:noFill/>
        </a:ln>
      </c:spPr>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gap"/>
  </c:chart>
  <c:spPr>
    <a:solidFill>
      <a:srgbClr val="FFFFFF"/>
    </a:solidFill>
    <a:ln w="3175" cap="flat" cmpd="sng" algn="ctr">
      <a:solidFill>
        <a:srgbClr val="000000"/>
      </a:solidFill>
      <a:prstDash val="solid"/>
      <a:round/>
    </a:ln>
  </c:spPr>
  <c:txPr>
    <a:bodyPr/>
    <a:lstStyle/>
    <a:p>
      <a:pPr>
        <a:defRPr lang="zh-CN" sz="1000" b="0" i="0" u="none" strike="noStrike" baseline="0">
          <a:solidFill>
            <a:srgbClr val="000000"/>
          </a:solidFill>
          <a:latin typeface="Arial" panose="020B0604020202020204" pitchFamily="2"/>
          <a:ea typeface="Arial" panose="020B0604020202020204" pitchFamily="2"/>
          <a:cs typeface="Arial" panose="020B0604020202020204" pitchFamily="2"/>
        </a:defRPr>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1A0FD4-A429-4E2E-98F1-1E283822A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14</Pages>
  <Words>2201</Words>
  <Characters>12552</Characters>
  <Application>Microsoft Office Word</Application>
  <DocSecurity>0</DocSecurity>
  <Lines>104</Lines>
  <Paragraphs>29</Paragraphs>
  <ScaleCrop>false</ScaleCrop>
  <Company>微软中国</Company>
  <LinksUpToDate>false</LinksUpToDate>
  <CharactersWithSpaces>14724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c:creator>
  <cp:lastModifiedBy>dell</cp:lastModifiedBy>
  <cp:revision>73</cp:revision>
  <cp:lastPrinted>2019-01-26T08:26:00Z</cp:lastPrinted>
  <dcterms:created xsi:type="dcterms:W3CDTF">2019-01-22T11:52:00Z</dcterms:created>
  <dcterms:modified xsi:type="dcterms:W3CDTF">2019-02-22T06:09:00Z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