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EEE"/>
  <w:body>
    <w:p w:rsidR="009519D8" w:rsidRDefault="009519D8" w:rsidP="009519D8">
      <w:pPr>
        <w:spacing w:line="420" w:lineRule="exact"/>
        <w:jc w:val="left"/>
        <w:rPr>
          <w:rFonts w:ascii="微软雅黑" w:eastAsia="微软雅黑" w:hAnsi="微软雅黑" w:cs="微软雅黑"/>
          <w:bCs/>
          <w:sz w:val="28"/>
          <w:szCs w:val="28"/>
        </w:rPr>
      </w:pPr>
      <w:r>
        <w:rPr>
          <w:rFonts w:ascii="微软雅黑" w:eastAsia="微软雅黑" w:hAnsi="微软雅黑" w:cs="微软雅黑" w:hint="eastAsia"/>
          <w:bCs/>
          <w:sz w:val="30"/>
          <w:szCs w:val="30"/>
        </w:rPr>
        <w:t>张曙光 张弛：</w:t>
      </w:r>
      <w:r>
        <w:rPr>
          <w:rFonts w:ascii="微软雅黑" w:eastAsia="微软雅黑" w:hAnsi="微软雅黑" w:cs="微软雅黑" w:hint="eastAsia"/>
          <w:b/>
          <w:sz w:val="30"/>
          <w:szCs w:val="30"/>
        </w:rPr>
        <w:t>经济增长逐季下行 实现稳定相当艰巨</w:t>
      </w:r>
      <w:r>
        <w:rPr>
          <w:rFonts w:ascii="宋体" w:eastAsia="宋体" w:hAnsi="宋体" w:cs="宋体" w:hint="eastAsia"/>
          <w:b/>
          <w:sz w:val="30"/>
          <w:szCs w:val="30"/>
        </w:rPr>
        <w:t>|</w:t>
      </w:r>
      <w:r>
        <w:rPr>
          <w:rFonts w:ascii="微软雅黑" w:eastAsia="微软雅黑" w:hAnsi="微软雅黑" w:cs="微软雅黑" w:hint="eastAsia"/>
          <w:bCs/>
          <w:sz w:val="28"/>
          <w:szCs w:val="28"/>
        </w:rPr>
        <w:t>2018年第4季度及全年中国宏观经济分析</w:t>
      </w:r>
    </w:p>
    <w:p w:rsidR="009519D8" w:rsidRDefault="009519D8" w:rsidP="009519D8">
      <w:pPr>
        <w:spacing w:line="380" w:lineRule="exact"/>
        <w:jc w:val="left"/>
        <w:rPr>
          <w:rFonts w:ascii="微软雅黑" w:eastAsia="微软雅黑" w:hAnsi="微软雅黑" w:cs="微软雅黑"/>
          <w:szCs w:val="21"/>
        </w:rPr>
      </w:pPr>
    </w:p>
    <w:p w:rsidR="009519D8" w:rsidRDefault="009519D8" w:rsidP="009519D8">
      <w:pPr>
        <w:spacing w:line="380" w:lineRule="exact"/>
        <w:jc w:val="left"/>
        <w:rPr>
          <w:rFonts w:ascii="微软雅黑" w:eastAsia="微软雅黑" w:hAnsi="微软雅黑" w:cs="微软雅黑"/>
          <w:color w:val="632423" w:themeColor="accent2" w:themeShade="80"/>
          <w:szCs w:val="21"/>
        </w:rPr>
      </w:pPr>
      <w:r>
        <w:rPr>
          <w:rFonts w:ascii="宋体" w:eastAsia="宋体" w:hAnsi="宋体" w:cs="宋体" w:hint="eastAsia"/>
          <w:b/>
          <w:bCs/>
          <w:color w:val="632423" w:themeColor="accent2" w:themeShade="80"/>
          <w:szCs w:val="21"/>
        </w:rPr>
        <w:t>[</w:t>
      </w:r>
      <w:r>
        <w:rPr>
          <w:rFonts w:ascii="宋体" w:eastAsia="宋体" w:hAnsi="宋体" w:cs="宋体" w:hint="eastAsia"/>
          <w:b/>
          <w:bCs/>
          <w:color w:val="632423" w:themeColor="accent2" w:themeShade="80"/>
          <w:sz w:val="6"/>
          <w:szCs w:val="6"/>
        </w:rPr>
        <w:t xml:space="preserve"> </w:t>
      </w:r>
      <w:r>
        <w:rPr>
          <w:rFonts w:ascii="微软雅黑" w:eastAsia="微软雅黑" w:hAnsi="微软雅黑" w:cs="微软雅黑" w:hint="eastAsia"/>
          <w:b/>
          <w:bCs/>
          <w:color w:val="632423" w:themeColor="accent2" w:themeShade="80"/>
          <w:szCs w:val="21"/>
        </w:rPr>
        <w:t>张曙光</w:t>
      </w:r>
      <w:r>
        <w:rPr>
          <w:rFonts w:ascii="微软雅黑" w:eastAsia="微软雅黑" w:hAnsi="微软雅黑" w:cs="微软雅黑" w:hint="eastAsia"/>
          <w:color w:val="632423" w:themeColor="accent2" w:themeShade="80"/>
          <w:szCs w:val="21"/>
        </w:rPr>
        <w:t xml:space="preserve"> 著名经济学家，中国社会科学院经济研究所研究员；</w:t>
      </w:r>
      <w:r>
        <w:rPr>
          <w:rFonts w:ascii="微软雅黑" w:eastAsia="微软雅黑" w:hAnsi="微软雅黑" w:cs="微软雅黑" w:hint="eastAsia"/>
          <w:b/>
          <w:bCs/>
          <w:color w:val="632423" w:themeColor="accent2" w:themeShade="80"/>
          <w:szCs w:val="21"/>
        </w:rPr>
        <w:t>张弛</w:t>
      </w:r>
      <w:r>
        <w:rPr>
          <w:rFonts w:ascii="微软雅黑" w:eastAsia="微软雅黑" w:hAnsi="微软雅黑" w:cs="微软雅黑" w:hint="eastAsia"/>
          <w:color w:val="632423" w:themeColor="accent2" w:themeShade="80"/>
          <w:szCs w:val="21"/>
        </w:rPr>
        <w:t xml:space="preserve"> 中国政法大学商学院。本文首发于2019-2-17</w:t>
      </w:r>
      <w:proofErr w:type="gramStart"/>
      <w:r>
        <w:rPr>
          <w:rFonts w:ascii="微软雅黑" w:eastAsia="微软雅黑" w:hAnsi="微软雅黑" w:cs="微软雅黑" w:hint="eastAsia"/>
          <w:color w:val="632423" w:themeColor="accent2" w:themeShade="80"/>
          <w:szCs w:val="21"/>
        </w:rPr>
        <w:t>中评周刊</w:t>
      </w:r>
      <w:proofErr w:type="gramEnd"/>
      <w:r>
        <w:rPr>
          <w:rFonts w:ascii="微软雅黑" w:eastAsia="微软雅黑" w:hAnsi="微软雅黑" w:cs="微软雅黑" w:hint="eastAsia"/>
          <w:color w:val="632423" w:themeColor="accent2" w:themeShade="80"/>
          <w:sz w:val="13"/>
          <w:szCs w:val="13"/>
        </w:rPr>
        <w:t xml:space="preserve"> </w:t>
      </w:r>
      <w:r>
        <w:rPr>
          <w:rFonts w:ascii="宋体" w:eastAsia="宋体" w:hAnsi="宋体" w:cs="宋体" w:hint="eastAsia"/>
          <w:b/>
          <w:bCs/>
          <w:color w:val="632423" w:themeColor="accent2" w:themeShade="80"/>
          <w:szCs w:val="21"/>
        </w:rPr>
        <w:t xml:space="preserve">] </w:t>
      </w:r>
    </w:p>
    <w:p w:rsidR="009519D8" w:rsidRDefault="009519D8" w:rsidP="009519D8">
      <w:pPr>
        <w:spacing w:line="380" w:lineRule="exact"/>
        <w:rPr>
          <w:rFonts w:ascii="微软雅黑" w:eastAsia="微软雅黑" w:hAnsi="微软雅黑" w:cs="微软雅黑"/>
          <w:szCs w:val="21"/>
        </w:rPr>
      </w:pPr>
    </w:p>
    <w:p w:rsidR="009519D8" w:rsidRDefault="009519D8" w:rsidP="009519D8">
      <w:pPr>
        <w:jc w:val="center"/>
        <w:rPr>
          <w:rFonts w:ascii="微软雅黑" w:eastAsia="微软雅黑" w:hAnsi="微软雅黑" w:cs="微软雅黑"/>
          <w:szCs w:val="21"/>
        </w:rPr>
      </w:pPr>
      <w:r>
        <w:rPr>
          <w:rFonts w:ascii="微软雅黑" w:eastAsia="微软雅黑" w:hAnsi="微软雅黑" w:cs="微软雅黑" w:hint="eastAsia"/>
          <w:noProof/>
          <w:szCs w:val="21"/>
        </w:rPr>
        <w:drawing>
          <wp:inline distT="0" distB="0" distL="114300" distR="114300">
            <wp:extent cx="5006340" cy="3379470"/>
            <wp:effectExtent l="0" t="0" r="7620" b="3810"/>
            <wp:docPr id="1" name="图片 2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1"/>
                    <pic:cNvPicPr>
                      <a:picLocks noChangeAspect="1"/>
                    </pic:cNvPicPr>
                  </pic:nvPicPr>
                  <pic:blipFill>
                    <a:blip r:embed="rId9" cstate="print"/>
                    <a:stretch>
                      <a:fillRect/>
                    </a:stretch>
                  </pic:blipFill>
                  <pic:spPr>
                    <a:xfrm>
                      <a:off x="0" y="0"/>
                      <a:ext cx="5006340" cy="3379470"/>
                    </a:xfrm>
                    <a:prstGeom prst="rect">
                      <a:avLst/>
                    </a:prstGeom>
                  </pic:spPr>
                </pic:pic>
              </a:graphicData>
            </a:graphic>
          </wp:inline>
        </w:drawing>
      </w:r>
    </w:p>
    <w:p w:rsidR="009519D8" w:rsidRDefault="009519D8" w:rsidP="009519D8">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本文作者</w:t>
      </w:r>
      <w:r>
        <w:rPr>
          <w:rFonts w:ascii="微软雅黑" w:eastAsia="微软雅黑" w:hAnsi="微软雅黑" w:cs="微软雅黑" w:hint="eastAsia"/>
          <w:b/>
          <w:bCs/>
          <w:sz w:val="18"/>
          <w:szCs w:val="18"/>
        </w:rPr>
        <w:t>张曙光</w:t>
      </w:r>
      <w:r>
        <w:rPr>
          <w:rFonts w:ascii="微软雅黑" w:eastAsia="微软雅黑" w:hAnsi="微软雅黑" w:cs="微软雅黑" w:hint="eastAsia"/>
          <w:sz w:val="18"/>
          <w:szCs w:val="18"/>
        </w:rPr>
        <w:t>教授</w:t>
      </w:r>
    </w:p>
    <w:p w:rsidR="009519D8" w:rsidRDefault="009519D8" w:rsidP="009519D8">
      <w:pPr>
        <w:spacing w:line="240" w:lineRule="exact"/>
        <w:jc w:val="center"/>
        <w:rPr>
          <w:rFonts w:ascii="微软雅黑" w:eastAsia="微软雅黑" w:hAnsi="微软雅黑" w:cs="微软雅黑"/>
          <w:szCs w:val="21"/>
        </w:rPr>
      </w:pP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b/>
          <w:bCs/>
          <w:szCs w:val="21"/>
        </w:rPr>
        <w:t>内容提要：</w:t>
      </w:r>
      <w:r>
        <w:rPr>
          <w:rFonts w:ascii="微软雅黑" w:eastAsia="微软雅黑" w:hAnsi="微软雅黑" w:cs="微软雅黑" w:hint="eastAsia"/>
          <w:szCs w:val="21"/>
        </w:rPr>
        <w:t>2018年，中国经济增长6.6%，完成了年初设定6.5%的增长目标，却呈逐季回落态势。除贸易受抢出口的拉动增长异常以外，投资和消费都有所趋缓。就业数据不错，但实际情况堪忧，实施就业优先战略是一个正确选择。减税降费是</w:t>
      </w:r>
      <w:proofErr w:type="gramStart"/>
      <w:r>
        <w:rPr>
          <w:rFonts w:ascii="微软雅黑" w:eastAsia="微软雅黑" w:hAnsi="微软雅黑" w:cs="微软雅黑" w:hint="eastAsia"/>
          <w:szCs w:val="21"/>
        </w:rPr>
        <w:t>稳就业和稳增长</w:t>
      </w:r>
      <w:proofErr w:type="gramEnd"/>
      <w:r>
        <w:rPr>
          <w:rFonts w:ascii="微软雅黑" w:eastAsia="微软雅黑" w:hAnsi="微软雅黑" w:cs="微软雅黑" w:hint="eastAsia"/>
          <w:szCs w:val="21"/>
        </w:rPr>
        <w:t>的良方，需要改变现行零敲碎打的施策方式，抓住增值税和社保缴费等主要税（费）种，大力度减免，方能奏效。实行扩张财政货币政策，更要关注化解金融经济风险。2019年能实现6%的增长就是最大的成绩。</w:t>
      </w:r>
    </w:p>
    <w:p w:rsidR="009519D8" w:rsidRDefault="009519D8" w:rsidP="009519D8">
      <w:pPr>
        <w:spacing w:line="460" w:lineRule="exact"/>
        <w:rPr>
          <w:rFonts w:ascii="微软雅黑" w:eastAsia="微软雅黑" w:hAnsi="微软雅黑" w:cs="微软雅黑"/>
          <w:szCs w:val="21"/>
        </w:rPr>
      </w:pPr>
    </w:p>
    <w:p w:rsidR="009519D8" w:rsidRDefault="009519D8" w:rsidP="009519D8">
      <w:pPr>
        <w:pStyle w:val="10"/>
        <w:spacing w:line="4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一、总量态势</w:t>
      </w:r>
    </w:p>
    <w:p w:rsidR="009519D8" w:rsidRDefault="009519D8" w:rsidP="009519D8">
      <w:p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1. 经济增长逐季回落</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初步核算，全年国内生产总值900309亿元，按可比价格计算，比上年增长6.6%。分季度看，一季度同比增长6.8%，二季度增长6.7%，三季度增长6.5%，四季度增长6.4%。分产业看，第一产业增加值64734亿元，比上年增长3.5%；第二产业增加值366001亿元，增长5.8%；第三产业增加值469575亿元，增长7.6%。</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全年全国规模以上工业增加值比上年实际增长6.2%，增速缓中趋稳。分经济类型看，国有控股企</w:t>
      </w:r>
      <w:r>
        <w:rPr>
          <w:rFonts w:ascii="微软雅黑" w:eastAsia="微软雅黑" w:hAnsi="微软雅黑" w:cs="微软雅黑" w:hint="eastAsia"/>
          <w:szCs w:val="21"/>
        </w:rPr>
        <w:lastRenderedPageBreak/>
        <w:t>业增加值增长6.2%，集体企业下降1.2%，股份制企业增长6.6%，外商及港澳台商投资企业增长4.8%。分三大门类看，采矿业增加值增长2.3%，制造业增长6.5%，电力、热力、燃气及水生产和供应业增长9.9%。高技术制造业、战略性新兴产业和装备制造业增加值分别比上年增长11.7%、8.9%和8.1%，增速分别比规模以上工业快5.5、2.7和1.9个百分点。</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全年全国服务业生产指数比上年增长7.7%，保持较快增长。其中，信息传输、软件和信息技术服务业，租赁和商务服务业分别增长37.0%、10.1%。</w:t>
      </w:r>
    </w:p>
    <w:p w:rsidR="009519D8" w:rsidRDefault="009519D8" w:rsidP="009519D8">
      <w:pPr>
        <w:spacing w:line="140" w:lineRule="exact"/>
        <w:ind w:firstLineChars="200" w:firstLine="420"/>
        <w:rPr>
          <w:rFonts w:ascii="微软雅黑" w:eastAsia="微软雅黑" w:hAnsi="微软雅黑" w:cs="微软雅黑"/>
          <w:szCs w:val="21"/>
        </w:rPr>
      </w:pPr>
    </w:p>
    <w:p w:rsidR="009519D8" w:rsidRDefault="009519D8" w:rsidP="009519D8">
      <w:pPr>
        <w:jc w:val="center"/>
        <w:rPr>
          <w:rFonts w:ascii="微软雅黑" w:eastAsia="微软雅黑" w:hAnsi="微软雅黑" w:cs="微软雅黑"/>
          <w:szCs w:val="21"/>
        </w:rPr>
      </w:pPr>
      <w:r>
        <w:rPr>
          <w:rFonts w:ascii="微软雅黑" w:eastAsia="微软雅黑" w:hAnsi="微软雅黑" w:cs="微软雅黑" w:hint="eastAsia"/>
          <w:noProof/>
          <w:szCs w:val="21"/>
        </w:rPr>
        <w:drawing>
          <wp:inline distT="0" distB="0" distL="0" distR="0">
            <wp:extent cx="5170170" cy="2701290"/>
            <wp:effectExtent l="4445" t="4445" r="6985" b="6985"/>
            <wp:docPr id="2"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9D8" w:rsidRDefault="009519D8" w:rsidP="009519D8">
      <w:pPr>
        <w:numPr>
          <w:ilvl w:val="0"/>
          <w:numId w:val="4"/>
        </w:num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 xml:space="preserve">居民消费价格稳定   </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居民消费价格比上年上涨2.1%，处于温和上涨区间，低于3%左右的预期目标。其中，城市上涨2.1%，农村上涨2.1%。分类别看，食品烟酒价格上涨1.9%，衣着上涨1.2%，居住上涨2.4%，生活用品及服务上涨1.6%，交通和通信上涨1.7%，教育文化和娱乐上涨2.2%，医疗保健上涨4.3%，其他用品和服务上涨1.2%。</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全年工业生产者出厂价格比上年上涨3.5%，涨幅比上年回落2.8个百分点。全年工业生产者购进价格比上年上涨4.1%。</w:t>
      </w:r>
    </w:p>
    <w:p w:rsidR="009519D8" w:rsidRDefault="009519D8" w:rsidP="009519D8">
      <w:pPr>
        <w:numPr>
          <w:ilvl w:val="0"/>
          <w:numId w:val="4"/>
        </w:num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城镇新增就业超计划</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城镇新增就业1361万人，比上年多增10万人。2018年各月全国城镇调查失业率保持在4.8%-5.1%之间。12月份，31个大城市城镇调查失业率为4.7%，比上年同月下降0.2个百分点。其中，全国主要就业人员群体25-59岁人口调查失业率为4.4%，与上月持平。年末全国就业人员77586万人，其中城镇就业人员43419万人。全年农民工总量28836万人，比上年增加184万人，增长0.6%。</w:t>
      </w:r>
    </w:p>
    <w:p w:rsidR="009519D8" w:rsidRDefault="009519D8" w:rsidP="009519D8">
      <w:pPr>
        <w:numPr>
          <w:ilvl w:val="0"/>
          <w:numId w:val="4"/>
        </w:numPr>
        <w:spacing w:line="460" w:lineRule="exact"/>
        <w:ind w:firstLineChars="200" w:firstLine="420"/>
        <w:rPr>
          <w:rFonts w:ascii="微软雅黑" w:eastAsia="微软雅黑" w:hAnsi="微软雅黑" w:cs="微软雅黑"/>
          <w:b/>
          <w:szCs w:val="21"/>
          <w:shd w:val="clear" w:color="auto" w:fill="FFFFFF"/>
        </w:rPr>
      </w:pPr>
      <w:r>
        <w:rPr>
          <w:rFonts w:ascii="微软雅黑" w:eastAsia="微软雅黑" w:hAnsi="微软雅黑" w:cs="微软雅黑" w:hint="eastAsia"/>
          <w:b/>
          <w:szCs w:val="21"/>
          <w:shd w:val="clear" w:color="auto" w:fill="FFFFFF"/>
        </w:rPr>
        <w:t>外汇储备和汇率相对稳定</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12月末，国家外汇储备余额为3.07</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美元。比9月末少200亿美元。12月末，人民币汇率为1美元兑6.8632元人民币，比9月末升值1.6个基点。</w:t>
      </w:r>
    </w:p>
    <w:p w:rsidR="009519D8" w:rsidRDefault="009519D8" w:rsidP="009519D8">
      <w:pPr>
        <w:jc w:val="center"/>
        <w:rPr>
          <w:rFonts w:ascii="微软雅黑" w:eastAsia="微软雅黑" w:hAnsi="微软雅黑" w:cs="微软雅黑"/>
          <w:szCs w:val="21"/>
        </w:rPr>
      </w:pPr>
      <w:r>
        <w:rPr>
          <w:rFonts w:ascii="微软雅黑" w:eastAsia="微软雅黑" w:hAnsi="微软雅黑" w:cs="微软雅黑" w:hint="eastAsia"/>
          <w:noProof/>
          <w:szCs w:val="21"/>
        </w:rPr>
        <w:lastRenderedPageBreak/>
        <w:drawing>
          <wp:inline distT="0" distB="0" distL="0" distR="0">
            <wp:extent cx="5495925" cy="2470785"/>
            <wp:effectExtent l="4445" t="4445" r="16510" b="8890"/>
            <wp:docPr id="3"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19D8" w:rsidRDefault="009519D8" w:rsidP="009519D8">
      <w:pPr>
        <w:spacing w:line="240" w:lineRule="exact"/>
        <w:rPr>
          <w:rFonts w:ascii="微软雅黑" w:eastAsia="微软雅黑" w:hAnsi="微软雅黑" w:cs="微软雅黑"/>
          <w:szCs w:val="21"/>
        </w:rPr>
      </w:pPr>
    </w:p>
    <w:p w:rsidR="009519D8" w:rsidRDefault="009519D8" w:rsidP="009519D8">
      <w:pPr>
        <w:spacing w:line="460" w:lineRule="exact"/>
        <w:ind w:firstLineChars="200" w:firstLine="420"/>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二、因素与结构</w:t>
      </w:r>
    </w:p>
    <w:p w:rsidR="009519D8" w:rsidRDefault="009519D8" w:rsidP="009519D8">
      <w:pPr>
        <w:pStyle w:val="20"/>
        <w:spacing w:line="460" w:lineRule="exact"/>
        <w:rPr>
          <w:rFonts w:ascii="微软雅黑" w:eastAsia="微软雅黑" w:hAnsi="微软雅黑" w:cs="微软雅黑"/>
          <w:b/>
          <w:szCs w:val="21"/>
        </w:rPr>
      </w:pPr>
      <w:r>
        <w:rPr>
          <w:rFonts w:ascii="微软雅黑" w:eastAsia="微软雅黑" w:hAnsi="微软雅黑" w:cs="微软雅黑" w:hint="eastAsia"/>
          <w:b/>
          <w:szCs w:val="21"/>
        </w:rPr>
        <w:t xml:space="preserve">1. 民间投资增速稳定  居民消费增长趋缓 </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全国固定资产投资（不含农户）635636亿元，比上年增长5.9%，增速比前三季度加快0.5个百分点。其中，民间投资394051亿元，增长8.7%，比上年加快2.7个百分点。分产业看，第一产业投资增长12.9%，比上年加快1.1个百分点；第二产业投资增长6.2%，加快3.0个百分点，其中制造业投资增长9.5%，加快4.7个百分点；第三产业投资增长5.5%，其中基础设施投资增长3.8%。高技术制造业、装备制造业投资比上年分别增长16.1%和11.1%，分别比制造业</w:t>
      </w:r>
      <w:proofErr w:type="gramStart"/>
      <w:r>
        <w:rPr>
          <w:rFonts w:ascii="微软雅黑" w:eastAsia="微软雅黑" w:hAnsi="微软雅黑" w:cs="微软雅黑" w:hint="eastAsia"/>
          <w:szCs w:val="21"/>
        </w:rPr>
        <w:t>投资快</w:t>
      </w:r>
      <w:proofErr w:type="gramEnd"/>
      <w:r>
        <w:rPr>
          <w:rFonts w:ascii="微软雅黑" w:eastAsia="微软雅黑" w:hAnsi="微软雅黑" w:cs="微软雅黑" w:hint="eastAsia"/>
          <w:szCs w:val="21"/>
        </w:rPr>
        <w:t>6.6和1.6个百分点。全年全国房地产开发投资120264亿元，比上年增长9.5%。全国商品房销售面积171654万平方米，增长 1.3%，其中住宅销售面积增长2.2%。全国商品房销售额149973亿元，增长12.2%，其中住宅销售额增长14.7%。</w:t>
      </w:r>
    </w:p>
    <w:p w:rsidR="009519D8" w:rsidRDefault="009519D8" w:rsidP="009519D8">
      <w:pPr>
        <w:widowControl/>
        <w:jc w:val="center"/>
        <w:rPr>
          <w:rFonts w:ascii="微软雅黑" w:eastAsia="微软雅黑" w:hAnsi="微软雅黑" w:cs="微软雅黑"/>
          <w:kern w:val="0"/>
          <w:szCs w:val="21"/>
        </w:rPr>
      </w:pPr>
      <w:r>
        <w:rPr>
          <w:rFonts w:ascii="微软雅黑" w:eastAsia="微软雅黑" w:hAnsi="微软雅黑" w:cs="微软雅黑" w:hint="eastAsia"/>
          <w:noProof/>
          <w:szCs w:val="21"/>
        </w:rPr>
        <w:drawing>
          <wp:inline distT="0" distB="0" distL="0" distR="0">
            <wp:extent cx="4954905" cy="2823845"/>
            <wp:effectExtent l="4445" t="4445" r="8890" b="6350"/>
            <wp:docPr id="4"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全年社会消费品零售总额380987亿元，比上年增长9.0%，保持较快增长。其中，限额以上单位消费品零售额145311亿元，增长5.7%。按经营单位所在地分，城镇消费品零售额325637亿元，增</w:t>
      </w:r>
      <w:r>
        <w:rPr>
          <w:rFonts w:ascii="微软雅黑" w:eastAsia="微软雅黑" w:hAnsi="微软雅黑" w:cs="微软雅黑" w:hint="eastAsia"/>
          <w:szCs w:val="21"/>
        </w:rPr>
        <w:lastRenderedPageBreak/>
        <w:t>长8.8%；乡村消费品零售额55350亿元，增长10.1%。</w:t>
      </w:r>
    </w:p>
    <w:p w:rsidR="009519D8" w:rsidRDefault="009519D8" w:rsidP="009519D8">
      <w:pPr>
        <w:spacing w:line="460" w:lineRule="exact"/>
        <w:ind w:firstLineChars="200" w:firstLine="420"/>
        <w:rPr>
          <w:rFonts w:ascii="微软雅黑" w:eastAsia="微软雅黑" w:hAnsi="微软雅黑" w:cs="微软雅黑"/>
          <w:b/>
          <w:szCs w:val="21"/>
        </w:rPr>
      </w:pPr>
    </w:p>
    <w:p w:rsidR="009519D8" w:rsidRDefault="009519D8" w:rsidP="009519D8">
      <w:p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 xml:space="preserve">2. 贸易顺差继续收窄  实际使用外资稍增  </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全年货物进出口总额305050亿元，比上年增长9.7%。其中，出口164177亿元，增长7.1%；进口140874亿元，增长12.9%。进出口相抵，顺差为23303亿元，比上年收窄18.3%。我国对主要贸易伙伴进出口全面增长，对欧盟、美国和东盟进出口分别增长7.9%、5.7%和11.2%；与“一带一路”沿线国家进出口增势良好，对“一带一路”沿线国家合计进出口增长13.3%，高出货物进出口总额增速3.6个百分点。全年规模以上工业企业实现出口交货值123932亿元，比上年增长8.5%。</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1-12月，全国新设立外商投资企业60533家，同比增长69.8%；实际使用外资8856.1亿元人民币，同比增长0.9%。</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2018年全年，我国全行业对外直接投资1298.3亿美元，同比增长4.2%。其中，对外金融类直接投资93.3亿美元，同比增长105.1%；对外非金融类直接投资1205亿美元，同比增长0.3%。</w:t>
      </w:r>
    </w:p>
    <w:p w:rsidR="009519D8" w:rsidRDefault="009519D8" w:rsidP="009519D8">
      <w:pPr>
        <w:numPr>
          <w:ilvl w:val="0"/>
          <w:numId w:val="5"/>
        </w:num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财政收入增速略降  政府基金收支大增</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-12月累计，全国一般公共预算收入183352亿元，同比增长6.2%。其中，中央一般公共预算收入85447亿元，同比增长5.3%；地方一般公共预算本级收入97905亿元，同比增长7%。全国一般公共预算收入中的税收收入156401亿元，同比增长8.3%；非税收入26951亿元，同比下降4.7%。 </w:t>
      </w:r>
    </w:p>
    <w:p w:rsidR="009519D8" w:rsidRDefault="009519D8" w:rsidP="009519D8">
      <w:pPr>
        <w:jc w:val="center"/>
        <w:rPr>
          <w:rFonts w:ascii="微软雅黑" w:eastAsia="微软雅黑" w:hAnsi="微软雅黑" w:cs="微软雅黑"/>
          <w:szCs w:val="21"/>
        </w:rPr>
      </w:pPr>
      <w:r>
        <w:rPr>
          <w:rFonts w:ascii="微软雅黑" w:eastAsia="微软雅黑" w:hAnsi="微软雅黑" w:cs="微软雅黑" w:hint="eastAsia"/>
          <w:noProof/>
          <w:szCs w:val="21"/>
        </w:rPr>
        <w:drawing>
          <wp:inline distT="0" distB="0" distL="0" distR="0">
            <wp:extent cx="5274310" cy="2928620"/>
            <wp:effectExtent l="4445" t="4445" r="9525" b="8255"/>
            <wp:docPr id="6"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1-12月累计，全国一般公共预算支出220906亿元，同比增长8.7%。其中，中央一般公共预算本级支出32708亿元，同比增长8.8%；地方一般公共预算支出188198亿元，同比增长8.7%。 </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-12月累计，全国政府性基金预算收入75405亿元，同比增长22.6%。其中，中央政府性基金预算收入4033亿元，同比增长4.2%；地方政府性基金预算本级收入71372亿元，同比增长23.8%，其中土地使用权出让收入65096亿元，同比增长25%。 </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lastRenderedPageBreak/>
        <w:t>1-12月累计，全国政府性基金预算支出80562亿元，同比增长32.1%。其中，中央政府性基金预算本级支出3089亿元，同比增长13.4%；地方政府性基金预算支出77473亿元，同比增长32.9%，其中土地出让收入相关支出69941亿元，同比增长34.2%。 </w:t>
      </w:r>
    </w:p>
    <w:p w:rsidR="009519D8" w:rsidRDefault="009519D8" w:rsidP="009519D8">
      <w:pPr>
        <w:numPr>
          <w:ilvl w:val="0"/>
          <w:numId w:val="5"/>
        </w:num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狭义货币增速锐减  贷款增速加快</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12月末，广义货币(M2)余额182.67</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元,同比增长8.1%，增速比上月末高0.1个百分点，与上年同期持平；狭义货币(M1)余额55.17</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元,同比增长1.5%，增速比上年同期低10.3个百分点；流通中货币(M0)余额7.32</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元,同比增长3.6%。全年净投放现金2563亿元。</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12月末，本外币贷款余额141.75</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元，同比增长12.9%，同比加快0.8个百分点。全年人民币贷款增加16.17</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元，同比多增2.64</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元。全年外币贷款减少431亿美元，同比多减953亿美元。</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12月末，本外币存款余额182.52</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元，同比增长7.8%。全年人民币存款增加13.4</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元，同比少增1071亿元。全年外币存款减少634亿美元，同比多减1413亿美元。</w:t>
      </w:r>
    </w:p>
    <w:p w:rsidR="009519D8" w:rsidRDefault="009519D8" w:rsidP="009519D8">
      <w:pPr>
        <w:numPr>
          <w:ilvl w:val="0"/>
          <w:numId w:val="5"/>
        </w:num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银行间市场交易活跃  加权平均利率波动不大</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2018年银行间人民币市场以拆借、现券和回购方式合计成交1012.71</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元，日均成交4.02</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元，日均成交比上年同期增长26.4%。其中，同业拆借日均成交同比增长75.7%，现券日均成交同比增长46%，质押式回购日均成交同比增长20%。</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12月份同业拆借加权平均利率为2.57%，比上月末高0.08个百分点，比上年同期低0.34个百分点；质押式回购加权平均利率为2.68%，比上月末高0.22个百分点，比上年同期低0.43个百分点。</w:t>
      </w:r>
    </w:p>
    <w:p w:rsidR="009519D8" w:rsidRDefault="009519D8" w:rsidP="009519D8">
      <w:pPr>
        <w:numPr>
          <w:ilvl w:val="0"/>
          <w:numId w:val="5"/>
        </w:numPr>
        <w:spacing w:line="460" w:lineRule="exact"/>
        <w:ind w:firstLineChars="200" w:firstLine="420"/>
        <w:rPr>
          <w:rFonts w:ascii="微软雅黑" w:eastAsia="微软雅黑" w:hAnsi="微软雅黑" w:cs="微软雅黑"/>
          <w:b/>
          <w:szCs w:val="21"/>
        </w:rPr>
      </w:pPr>
      <w:r>
        <w:rPr>
          <w:rFonts w:ascii="微软雅黑" w:eastAsia="微软雅黑" w:hAnsi="微软雅黑" w:cs="微软雅黑" w:hint="eastAsia"/>
          <w:b/>
          <w:szCs w:val="21"/>
        </w:rPr>
        <w:t>中国股市全球垫底  A股投资者人均亏损近10万</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在中美贸易冲突、美联储加息、地区增长放缓的大背景下，2018年全球股市普遍下跌，多国股市</w:t>
      </w:r>
      <w:proofErr w:type="gramStart"/>
      <w:r>
        <w:rPr>
          <w:rFonts w:ascii="微软雅黑" w:eastAsia="微软雅黑" w:hAnsi="微软雅黑" w:cs="微软雅黑" w:hint="eastAsia"/>
          <w:szCs w:val="21"/>
        </w:rPr>
        <w:t>创金融</w:t>
      </w:r>
      <w:proofErr w:type="gramEnd"/>
      <w:r>
        <w:rPr>
          <w:rFonts w:ascii="微软雅黑" w:eastAsia="微软雅黑" w:hAnsi="微软雅黑" w:cs="微软雅黑" w:hint="eastAsia"/>
          <w:szCs w:val="21"/>
        </w:rPr>
        <w:t>危机以来最差成绩，A股在全球主要股指中表现垫底。</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2018年，上证综指收于2493.90点，全年跌幅达24.6%，深成指跌幅34%，二者均为历史第二大跌幅，仅次于2008年；创业板全年跌幅近29%。A股全年市值蒸发近2.4</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美元。以2018年A股期末投资者数量1.45亿计算，投资者人均亏损9.9万元。</w:t>
      </w:r>
    </w:p>
    <w:p w:rsidR="009519D8" w:rsidRDefault="009519D8" w:rsidP="009519D8">
      <w:pPr>
        <w:spacing w:line="4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2018年全球主要股指普遍下跌，全球股市市值减值近12</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美元，创历史第二大记录。美国道琼斯指数下跌5.6%，</w:t>
      </w:r>
      <w:proofErr w:type="gramStart"/>
      <w:r>
        <w:rPr>
          <w:rFonts w:ascii="微软雅黑" w:eastAsia="微软雅黑" w:hAnsi="微软雅黑" w:cs="微软雅黑" w:hint="eastAsia"/>
          <w:szCs w:val="21"/>
        </w:rPr>
        <w:t>纳指终结</w:t>
      </w:r>
      <w:proofErr w:type="gramEnd"/>
      <w:r>
        <w:rPr>
          <w:rFonts w:ascii="微软雅黑" w:eastAsia="微软雅黑" w:hAnsi="微软雅黑" w:cs="微软雅黑" w:hint="eastAsia"/>
          <w:szCs w:val="21"/>
        </w:rPr>
        <w:t>六年连涨，</w:t>
      </w:r>
      <w:proofErr w:type="gramStart"/>
      <w:r>
        <w:rPr>
          <w:rFonts w:ascii="微软雅黑" w:eastAsia="微软雅黑" w:hAnsi="微软雅黑" w:cs="微软雅黑" w:hint="eastAsia"/>
          <w:szCs w:val="21"/>
        </w:rPr>
        <w:t>标普和</w:t>
      </w:r>
      <w:proofErr w:type="gramEnd"/>
      <w:r>
        <w:rPr>
          <w:rFonts w:ascii="微软雅黑" w:eastAsia="微软雅黑" w:hAnsi="微软雅黑" w:cs="微软雅黑" w:hint="eastAsia"/>
          <w:szCs w:val="21"/>
        </w:rPr>
        <w:t>道指三年以来首次年度下跌；日本日经225指数全年跌幅近13%，韩国</w:t>
      </w:r>
      <w:proofErr w:type="gramStart"/>
      <w:r>
        <w:rPr>
          <w:rFonts w:ascii="微软雅黑" w:eastAsia="微软雅黑" w:hAnsi="微软雅黑" w:cs="微软雅黑" w:hint="eastAsia"/>
          <w:szCs w:val="21"/>
        </w:rPr>
        <w:t>首尔综</w:t>
      </w:r>
      <w:proofErr w:type="gramEnd"/>
      <w:r>
        <w:rPr>
          <w:rFonts w:ascii="微软雅黑" w:eastAsia="微软雅黑" w:hAnsi="微软雅黑" w:cs="微软雅黑" w:hint="eastAsia"/>
          <w:szCs w:val="21"/>
        </w:rPr>
        <w:t>指数全年累计下跌17.3%，香港恒生指数全年下挫14%，MSCI除日本外的亚太股指全年跌幅为16%；MSCI新兴市场股市全年下跌近17%；欧洲STOXX 600指数全年累计下跌约13％。</w:t>
      </w:r>
    </w:p>
    <w:p w:rsidR="009519D8" w:rsidRDefault="009519D8" w:rsidP="009519D8">
      <w:pPr>
        <w:jc w:val="center"/>
        <w:rPr>
          <w:rFonts w:ascii="微软雅黑" w:eastAsia="微软雅黑" w:hAnsi="微软雅黑" w:cs="微软雅黑"/>
          <w:szCs w:val="21"/>
        </w:rPr>
      </w:pPr>
      <w:r>
        <w:rPr>
          <w:rFonts w:ascii="微软雅黑" w:eastAsia="微软雅黑" w:hAnsi="微软雅黑" w:cs="微软雅黑" w:hint="eastAsia"/>
          <w:noProof/>
          <w:szCs w:val="21"/>
        </w:rPr>
        <w:lastRenderedPageBreak/>
        <w:drawing>
          <wp:inline distT="0" distB="0" distL="0" distR="0">
            <wp:extent cx="5242560" cy="2186940"/>
            <wp:effectExtent l="9525" t="9525" r="20955" b="13335"/>
            <wp:docPr id="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4" cstate="print"/>
                    <a:stretch>
                      <a:fillRect/>
                    </a:stretch>
                  </pic:blipFill>
                  <pic:spPr>
                    <a:xfrm>
                      <a:off x="0" y="0"/>
                      <a:ext cx="5242560" cy="2186940"/>
                    </a:xfrm>
                    <a:prstGeom prst="rect">
                      <a:avLst/>
                    </a:prstGeom>
                    <a:ln>
                      <a:solidFill>
                        <a:srgbClr val="2B92D1"/>
                      </a:solidFill>
                    </a:ln>
                  </pic:spPr>
                </pic:pic>
              </a:graphicData>
            </a:graphic>
          </wp:inline>
        </w:drawing>
      </w:r>
    </w:p>
    <w:p w:rsidR="009519D8" w:rsidRDefault="009519D8" w:rsidP="009519D8">
      <w:pPr>
        <w:spacing w:line="460" w:lineRule="exact"/>
        <w:ind w:firstLineChars="200" w:firstLine="420"/>
        <w:jc w:val="left"/>
        <w:rPr>
          <w:rFonts w:ascii="微软雅黑" w:eastAsia="微软雅黑" w:hAnsi="微软雅黑" w:cs="微软雅黑"/>
          <w:b/>
          <w:szCs w:val="21"/>
        </w:rPr>
      </w:pPr>
      <w:r>
        <w:rPr>
          <w:rFonts w:ascii="微软雅黑" w:eastAsia="微软雅黑" w:hAnsi="微软雅黑" w:cs="微软雅黑" w:hint="eastAsia"/>
          <w:b/>
          <w:szCs w:val="21"/>
        </w:rPr>
        <w:t>三，政策效应</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1. GDP走势及其核算</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2018年，中国国内生产总值900309亿元，比上年增长6.6%，完成了年初政府设定6.5%的增长目标。按平均汇率折算，经济总量约13.6</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美元，按年末大陆人口139538万人计算，人均GDP达9746美元，接近1万美元。在内外形势复杂多变、相当不确定的情况下，能够取得这样的增长实绩，确属不易。</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2019年1月18日，国家统计局公布了2017年GDP最终核实数据，为现价820754亿元，</w:t>
      </w:r>
      <w:proofErr w:type="gramStart"/>
      <w:r>
        <w:rPr>
          <w:rFonts w:ascii="微软雅黑" w:eastAsia="微软雅黑" w:hAnsi="微软雅黑" w:cs="微软雅黑" w:hint="eastAsia"/>
          <w:szCs w:val="21"/>
        </w:rPr>
        <w:t>比初步</w:t>
      </w:r>
      <w:proofErr w:type="gramEnd"/>
      <w:r>
        <w:rPr>
          <w:rFonts w:ascii="微软雅黑" w:eastAsia="微软雅黑" w:hAnsi="微软雅黑" w:cs="微软雅黑" w:hint="eastAsia"/>
          <w:szCs w:val="21"/>
        </w:rPr>
        <w:t>核算数少了6367亿元，按不变价格计算，比2016年增长6.8%，</w:t>
      </w:r>
      <w:proofErr w:type="gramStart"/>
      <w:r>
        <w:rPr>
          <w:rFonts w:ascii="微软雅黑" w:eastAsia="微软雅黑" w:hAnsi="微软雅黑" w:cs="微软雅黑" w:hint="eastAsia"/>
          <w:szCs w:val="21"/>
        </w:rPr>
        <w:t>比初步</w:t>
      </w:r>
      <w:proofErr w:type="gramEnd"/>
      <w:r>
        <w:rPr>
          <w:rFonts w:ascii="微软雅黑" w:eastAsia="微软雅黑" w:hAnsi="微软雅黑" w:cs="微软雅黑" w:hint="eastAsia"/>
          <w:szCs w:val="21"/>
        </w:rPr>
        <w:t>核算数调降0.1个百分点。2018年的GDP增长率是按照调整后的数据计算的。根据中信宏观研究，2018年全年的GDP平减指数大约是3.7%，要达到6.5%的增长速度，全年GDP的名义增长率应为10.2%，名义值应为904470.9亿元。而统计局公布的数据分别是9.69%（=900309/820754-1）%和900309亿元。这里的差别出在了平减指数上。</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应当指出，统计局的GDP核算分为两步，第一步当年进行初步核算，第二步次年再进行核实。这是统计工作的规定程序，核增核减都有可能，本无可厚非。统计局未公布平减指数。按照其公布的数据计算，2018年全年的平减指数是3.09%（=900309/820754-1.066）%（严格地说是103.9%）。按此计算，如果2017年GDP不核减6367亿元，今年的GDP增长率只有5.76%（900309/827121-1.039）%。</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按照统计局公布的数据，2018年4个季度GDP的增长率分别是6.8%、6.7%、6.5%和6.4%。很明显，呈逐季回落态势，再加上我们后面的讨论，“总体平稳，稳中有进”的结论有点言过其实，还是那种报喜不报忧的套路。可喜的是，制造业增速加快，高技术制造业、战略性新兴产业和装备制造业增长速度都在8%以上。</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统计局没有公布2017年分季度的核实数据，如果用当年第4季度的初步核算数据（233834亿元）计算，那么，2018年第4季度GDP的增长率只有3.57%（=249410.2/233834-1.0309）%。即使</w:t>
      </w:r>
      <w:r>
        <w:rPr>
          <w:rFonts w:ascii="微软雅黑" w:eastAsia="微软雅黑" w:hAnsi="微软雅黑" w:cs="微软雅黑" w:hint="eastAsia"/>
          <w:szCs w:val="21"/>
        </w:rPr>
        <w:lastRenderedPageBreak/>
        <w:t>把2017年核减的6367亿元按4个季度平分（每季1591.75亿元），2018年第4季度的GDP增长率也只有4.3%（249410.2/232242.25-1.0309）%。如果按全年的平减指数计算，第4季度要达到6.4%的增长率，那么，2017年第4季度的GDP现值核实数应为227792.7亿元〔249410.2/（1.066+1.0309）〕，也就是说，2017年第4季度GDP应当核减6041.3亿元，占当年核减数的94.9%，只比全年核减数少325.7亿元。我们认为，事实并不如此，统计核算也不会做成这个样子。</w:t>
      </w:r>
      <w:proofErr w:type="gramStart"/>
      <w:r>
        <w:rPr>
          <w:rFonts w:ascii="微软雅黑" w:eastAsia="微软雅黑" w:hAnsi="微软雅黑" w:cs="微软雅黑" w:hint="eastAsia"/>
          <w:szCs w:val="21"/>
        </w:rPr>
        <w:t>至于问题</w:t>
      </w:r>
      <w:proofErr w:type="gramEnd"/>
      <w:r>
        <w:rPr>
          <w:rFonts w:ascii="微软雅黑" w:eastAsia="微软雅黑" w:hAnsi="微软雅黑" w:cs="微软雅黑" w:hint="eastAsia"/>
          <w:szCs w:val="21"/>
        </w:rPr>
        <w:t>出在什么地方，看了上述计算，读者会有自己的答案。可见，数据并不是看上去那么简单明了，而是相当奥妙，有很大学问，值得认真探索和辨析。因此，进行GDP核算和调整，应当注意数据之间的关系，否则，出现漏洞和矛盾，必将招致诟病和质疑。</w:t>
      </w:r>
    </w:p>
    <w:p w:rsidR="009519D8" w:rsidRDefault="009519D8" w:rsidP="009519D8">
      <w:pPr>
        <w:pStyle w:val="af"/>
        <w:numPr>
          <w:ilvl w:val="0"/>
          <w:numId w:val="6"/>
        </w:numPr>
        <w:spacing w:line="460" w:lineRule="exact"/>
        <w:rPr>
          <w:rFonts w:ascii="微软雅黑" w:eastAsia="微软雅黑" w:hAnsi="微软雅黑" w:cs="微软雅黑"/>
          <w:b/>
          <w:bCs/>
          <w:szCs w:val="21"/>
        </w:rPr>
      </w:pPr>
      <w:r>
        <w:rPr>
          <w:rFonts w:ascii="微软雅黑" w:eastAsia="微软雅黑" w:hAnsi="微软雅黑" w:cs="微软雅黑" w:hint="eastAsia"/>
          <w:b/>
          <w:bCs/>
          <w:szCs w:val="21"/>
        </w:rPr>
        <w:t>三大需求因素分析</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从消费来看，2018年，社会消费品零售额增长9%，比上年回落1.2个百分点，比前3个季度回落0.3个百分点，尽管对经济增长的贡献度（76.2%）在提高。消费品零售额下滑的重要原因是，汽车类相关消费出现负增长，家电类消费低迷。2018年全年汽车销售2808万辆，同比下降2.8%。拐点出现在下半年，自2001年开始，国内汽车产销量一路上涨，政策刺激的年份（如2008、2012、2015）增速有明显提升，但刺激效果递减。在过去保有量不高的情况下，受购置税等政策的影响较大，2017年1.6L排量以下的车还能享受7.5%的购置税，2018年1月1日就提高到10%，下滑最大的是低价位的车型，6万元以下的微型车下滑35万辆，6-8万元的车型下滑77万辆，而12万元以上的市场区间全部是增长的，其中，25万元以上的“豪车”增长了11.3%。有人不无讽刺地说，简直是“一副</w:t>
      </w:r>
      <w:proofErr w:type="gramStart"/>
      <w:r>
        <w:rPr>
          <w:rFonts w:ascii="微软雅黑" w:eastAsia="微软雅黑" w:hAnsi="微软雅黑" w:cs="微软雅黑" w:hint="eastAsia"/>
          <w:szCs w:val="21"/>
        </w:rPr>
        <w:t>不</w:t>
      </w:r>
      <w:proofErr w:type="gramEnd"/>
      <w:r>
        <w:rPr>
          <w:rFonts w:ascii="微软雅黑" w:eastAsia="微软雅黑" w:hAnsi="微软雅黑" w:cs="微软雅黑" w:hint="eastAsia"/>
          <w:szCs w:val="21"/>
        </w:rPr>
        <w:t>合时适的消费升级景象”。2018年是中国家电市场的分水岭，在2017年的高速增长之后，市场严冬正在来临。据中</w:t>
      </w:r>
      <w:proofErr w:type="gramStart"/>
      <w:r>
        <w:rPr>
          <w:rFonts w:ascii="微软雅黑" w:eastAsia="微软雅黑" w:hAnsi="微软雅黑" w:cs="微软雅黑" w:hint="eastAsia"/>
          <w:szCs w:val="21"/>
        </w:rPr>
        <w:t>怡</w:t>
      </w:r>
      <w:proofErr w:type="gramEnd"/>
      <w:r>
        <w:rPr>
          <w:rFonts w:ascii="微软雅黑" w:eastAsia="微软雅黑" w:hAnsi="微软雅黑" w:cs="微软雅黑" w:hint="eastAsia"/>
          <w:szCs w:val="21"/>
        </w:rPr>
        <w:t>康统计，1-10月，彩电市场零售3692万台，同比下降2.3%，零售额1137亿元，下降11.1%。白电器除空调外，其他品类几乎没有增长，前几年一直高速增长的厨电，也出现了断崖式下滑。其原因是多方面的。家电行业是一个周期性发展行业，受房地产的发展影响较大，房子限购导致新增需求减少，经济下行导致消费减少，家电新品心意购买动力不足，以及刺激政策的缺席。正因为如此，</w:t>
      </w:r>
      <w:proofErr w:type="gramStart"/>
      <w:r>
        <w:rPr>
          <w:rFonts w:ascii="微软雅黑" w:eastAsia="微软雅黑" w:hAnsi="微软雅黑" w:cs="微软雅黑" w:hint="eastAsia"/>
          <w:szCs w:val="21"/>
        </w:rPr>
        <w:t>发改委</w:t>
      </w:r>
      <w:proofErr w:type="gramEnd"/>
      <w:r>
        <w:rPr>
          <w:rFonts w:ascii="微软雅黑" w:eastAsia="微软雅黑" w:hAnsi="微软雅黑" w:cs="微软雅黑" w:hint="eastAsia"/>
          <w:szCs w:val="21"/>
        </w:rPr>
        <w:t>正准备在2019年重启前些年实施的汽车、家电销售的补贴政策。不过，也有一些令人费解的信息，据报载，工信部提出，要减少和限制老年人低速</w:t>
      </w:r>
      <w:proofErr w:type="gramStart"/>
      <w:r>
        <w:rPr>
          <w:rFonts w:ascii="微软雅黑" w:eastAsia="微软雅黑" w:hAnsi="微软雅黑" w:cs="微软雅黑" w:hint="eastAsia"/>
          <w:szCs w:val="21"/>
        </w:rPr>
        <w:t>代步车</w:t>
      </w:r>
      <w:proofErr w:type="gramEnd"/>
      <w:r>
        <w:rPr>
          <w:rFonts w:ascii="微软雅黑" w:eastAsia="微软雅黑" w:hAnsi="微软雅黑" w:cs="微软雅黑" w:hint="eastAsia"/>
          <w:szCs w:val="21"/>
        </w:rPr>
        <w:t>的生产，难道让老年人都去开快车？</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消费是经济增长中最稳定的因素，一般不会有太大的波动。2018年的消费中也有一些新的亮点。服务消费持续提升，信息消费成为一大特色。中国互联网协会发布的数据显示，2018年信息消费规模5</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元，增长11%，信息服务消费首次超过信息产品消费。出现了实物消费个性化、服务消费智能化、</w:t>
      </w:r>
      <w:proofErr w:type="gramStart"/>
      <w:r>
        <w:rPr>
          <w:rFonts w:ascii="微软雅黑" w:eastAsia="微软雅黑" w:hAnsi="微软雅黑" w:cs="微软雅黑" w:hint="eastAsia"/>
          <w:szCs w:val="21"/>
        </w:rPr>
        <w:t>文旅消费</w:t>
      </w:r>
      <w:proofErr w:type="gramEnd"/>
      <w:r>
        <w:rPr>
          <w:rFonts w:ascii="微软雅黑" w:eastAsia="微软雅黑" w:hAnsi="微软雅黑" w:cs="微软雅黑" w:hint="eastAsia"/>
          <w:szCs w:val="21"/>
        </w:rPr>
        <w:t>精品化的特征（电子商务研究中心生活服务电商分析师语）据移动数据与分析提供</w:t>
      </w:r>
      <w:proofErr w:type="gramStart"/>
      <w:r>
        <w:rPr>
          <w:rFonts w:ascii="微软雅黑" w:eastAsia="微软雅黑" w:hAnsi="微软雅黑" w:cs="微软雅黑" w:hint="eastAsia"/>
          <w:szCs w:val="21"/>
        </w:rPr>
        <w:t>商安亿</w:t>
      </w:r>
      <w:proofErr w:type="gramEnd"/>
      <w:r>
        <w:rPr>
          <w:rFonts w:ascii="微软雅黑" w:eastAsia="微软雅黑" w:hAnsi="微软雅黑" w:cs="微软雅黑" w:hint="eastAsia"/>
          <w:szCs w:val="21"/>
        </w:rPr>
        <w:t>致用公司发布的《2019移动终端状况》报告，中国是全球最大的智能手机市场之一，2018年，全球消费者花在App上的1010亿美元中，中国贡献了将近4成，包括付费下载、应用内购买和应用内</w:t>
      </w:r>
      <w:r>
        <w:rPr>
          <w:rFonts w:ascii="微软雅黑" w:eastAsia="微软雅黑" w:hAnsi="微软雅黑" w:cs="微软雅黑" w:hint="eastAsia"/>
          <w:szCs w:val="21"/>
        </w:rPr>
        <w:lastRenderedPageBreak/>
        <w:t>订阅等。在全球顶尖的300家技术企业获利的消费者支出中，中国企业获利了32%，大约196亿美元的收入，</w:t>
      </w:r>
      <w:proofErr w:type="gramStart"/>
      <w:r>
        <w:rPr>
          <w:rFonts w:ascii="微软雅黑" w:eastAsia="微软雅黑" w:hAnsi="微软雅黑" w:cs="微软雅黑" w:hint="eastAsia"/>
          <w:szCs w:val="21"/>
        </w:rPr>
        <w:t>腾讯是</w:t>
      </w:r>
      <w:proofErr w:type="gramEnd"/>
      <w:r>
        <w:rPr>
          <w:rFonts w:ascii="微软雅黑" w:eastAsia="微软雅黑" w:hAnsi="微软雅黑" w:cs="微软雅黑" w:hint="eastAsia"/>
          <w:szCs w:val="21"/>
        </w:rPr>
        <w:t>五家获利消费者支出最多的公司之一。收入增长是消费增长的基础，2018年，中国居民可支配收入增长8.7%，实际增长6.5%，与经济增长基本同步。不过，随着经济走低，交行首席经济学家连平预测2019年消费增长8.7%左右，对经济增长的贡献率或仍将超过75%。据美国电子商务市场研究公司估计，2019年中国的零售额将增长7.5%，达到5.636</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元，占全球网上销售额的55.8%，成为全球最大的网上销售市场。</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从投资来看，2018年全年固定资产投资增长5.9%，比前3个季度加快0.5个百分点，且4季度逐月回升。对稳定当年的经济增长起到了明显效果。为此，</w:t>
      </w:r>
      <w:proofErr w:type="gramStart"/>
      <w:r>
        <w:rPr>
          <w:rFonts w:ascii="微软雅黑" w:eastAsia="微软雅黑" w:hAnsi="微软雅黑" w:cs="微软雅黑" w:hint="eastAsia"/>
          <w:szCs w:val="21"/>
        </w:rPr>
        <w:t>发改委</w:t>
      </w:r>
      <w:proofErr w:type="gramEnd"/>
      <w:r>
        <w:rPr>
          <w:rFonts w:ascii="微软雅黑" w:eastAsia="微软雅黑" w:hAnsi="微软雅黑" w:cs="微软雅黑" w:hint="eastAsia"/>
          <w:szCs w:val="21"/>
        </w:rPr>
        <w:t>全年共批核准投资项目189个，其中4季度批核准42项，包括“八纵八横”高</w:t>
      </w:r>
      <w:proofErr w:type="gramStart"/>
      <w:r>
        <w:rPr>
          <w:rFonts w:ascii="微软雅黑" w:eastAsia="微软雅黑" w:hAnsi="微软雅黑" w:cs="微软雅黑" w:hint="eastAsia"/>
          <w:szCs w:val="21"/>
        </w:rPr>
        <w:t>铁主通道厦渝</w:t>
      </w:r>
      <w:proofErr w:type="gramEnd"/>
      <w:r>
        <w:rPr>
          <w:rFonts w:ascii="微软雅黑" w:eastAsia="微软雅黑" w:hAnsi="微软雅黑" w:cs="微软雅黑" w:hint="eastAsia"/>
          <w:szCs w:val="21"/>
        </w:rPr>
        <w:t>通道的组成部分重庆至黔江、包头至银川铁路的银川至惠农段、上海经苏州至湖州段，以及青海-河南800千伏特高压直流输电工程等。从12月5日以来的1个月，</w:t>
      </w:r>
      <w:proofErr w:type="gramStart"/>
      <w:r>
        <w:rPr>
          <w:rFonts w:ascii="微软雅黑" w:eastAsia="微软雅黑" w:hAnsi="微软雅黑" w:cs="微软雅黑" w:hint="eastAsia"/>
          <w:szCs w:val="21"/>
        </w:rPr>
        <w:t>发改委</w:t>
      </w:r>
      <w:proofErr w:type="gramEnd"/>
      <w:r>
        <w:rPr>
          <w:rFonts w:ascii="微软雅黑" w:eastAsia="微软雅黑" w:hAnsi="微软雅黑" w:cs="微软雅黑" w:hint="eastAsia"/>
          <w:szCs w:val="21"/>
        </w:rPr>
        <w:t>共批复8个城市和地区城市轨道和铁路项目，包括重庆、济南、杭州、上海、长春的城市轨道交通，广西北部湾经济区、西安至延安、江苏省沿江城市群三个区域铁路建设。这将对拉动2019年的经济增长起到一定作用。</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与此同时，由于近年来各地多在5月前后调整预算，导致地方政府债券发行使用速度偏慢，特别是鉴于经济下行的压力加大，再加上2019年制造业投资增长有可能呈现下行态势，报纸上普遍认为“基建将是2019年稳增长最值得期待的方式”，“基建投资将被当作稳投资、稳增长的着力点”。人大常委会正式授权国务院提前下达2019年地方政府新增债务限额1.39</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从1月22日起，河南、福建、天津、云南、四川、浙江等省市开始发行地方政府债券，1月发行总规模预计超过2400亿元。地方债供给放量为基建提供资金来源，使基建增速回升，有望支撑2019年的经济增长。1月2日，中国铁总工作会议指出，2019年铁路固定资产投资将保持强度规模，</w:t>
      </w:r>
      <w:proofErr w:type="gramStart"/>
      <w:r>
        <w:rPr>
          <w:rFonts w:ascii="微软雅黑" w:eastAsia="微软雅黑" w:hAnsi="微软雅黑" w:cs="微软雅黑" w:hint="eastAsia"/>
          <w:szCs w:val="21"/>
        </w:rPr>
        <w:t>确保投产</w:t>
      </w:r>
      <w:proofErr w:type="gramEnd"/>
      <w:r>
        <w:rPr>
          <w:rFonts w:ascii="微软雅黑" w:eastAsia="微软雅黑" w:hAnsi="微软雅黑" w:cs="微软雅黑" w:hint="eastAsia"/>
          <w:szCs w:val="21"/>
        </w:rPr>
        <w:t>新线6800公里，比2018年预计4000公里、完成4683公里增长七成。12月28日召开的2019年全国交通运输工作会议提出“大力推进京津冀暨雄安新区交通建设”，</w:t>
      </w:r>
      <w:proofErr w:type="gramStart"/>
      <w:r>
        <w:rPr>
          <w:rFonts w:ascii="微软雅黑" w:eastAsia="微软雅黑" w:hAnsi="微软雅黑" w:cs="微软雅黑" w:hint="eastAsia"/>
          <w:szCs w:val="21"/>
        </w:rPr>
        <w:t>雄安新区</w:t>
      </w:r>
      <w:proofErr w:type="gramEnd"/>
      <w:r>
        <w:rPr>
          <w:rFonts w:ascii="微软雅黑" w:eastAsia="微软雅黑" w:hAnsi="微软雅黑" w:cs="微软雅黑" w:hint="eastAsia"/>
          <w:szCs w:val="21"/>
        </w:rPr>
        <w:t>周边</w:t>
      </w:r>
      <w:proofErr w:type="gramStart"/>
      <w:r>
        <w:rPr>
          <w:rFonts w:ascii="微软雅黑" w:eastAsia="微软雅黑" w:hAnsi="微软雅黑" w:cs="微软雅黑" w:hint="eastAsia"/>
          <w:szCs w:val="21"/>
        </w:rPr>
        <w:t>的京雄城际</w:t>
      </w:r>
      <w:proofErr w:type="gramEnd"/>
      <w:r>
        <w:rPr>
          <w:rFonts w:ascii="微软雅黑" w:eastAsia="微软雅黑" w:hAnsi="微软雅黑" w:cs="微软雅黑" w:hint="eastAsia"/>
          <w:szCs w:val="21"/>
        </w:rPr>
        <w:t>铁路、京石高速等项目建设将加快推进，京港（台）高</w:t>
      </w:r>
      <w:proofErr w:type="gramStart"/>
      <w:r>
        <w:rPr>
          <w:rFonts w:ascii="微软雅黑" w:eastAsia="微软雅黑" w:hAnsi="微软雅黑" w:cs="微软雅黑" w:hint="eastAsia"/>
          <w:szCs w:val="21"/>
        </w:rPr>
        <w:t>铁京雄段</w:t>
      </w:r>
      <w:proofErr w:type="gramEnd"/>
      <w:r>
        <w:rPr>
          <w:rFonts w:ascii="微软雅黑" w:eastAsia="微软雅黑" w:hAnsi="微软雅黑" w:cs="微软雅黑" w:hint="eastAsia"/>
          <w:szCs w:val="21"/>
        </w:rPr>
        <w:t>和</w:t>
      </w:r>
      <w:proofErr w:type="gramStart"/>
      <w:r>
        <w:rPr>
          <w:rFonts w:ascii="微软雅黑" w:eastAsia="微软雅黑" w:hAnsi="微软雅黑" w:cs="微软雅黑" w:hint="eastAsia"/>
          <w:szCs w:val="21"/>
        </w:rPr>
        <w:t>雄商</w:t>
      </w:r>
      <w:proofErr w:type="gramEnd"/>
      <w:r>
        <w:rPr>
          <w:rFonts w:ascii="微软雅黑" w:eastAsia="微软雅黑" w:hAnsi="微软雅黑" w:cs="微软雅黑" w:hint="eastAsia"/>
          <w:szCs w:val="21"/>
        </w:rPr>
        <w:t>段、荣乌高速新线、</w:t>
      </w:r>
      <w:proofErr w:type="gramStart"/>
      <w:r>
        <w:rPr>
          <w:rFonts w:ascii="微软雅黑" w:eastAsia="微软雅黑" w:hAnsi="微软雅黑" w:cs="微软雅黑" w:hint="eastAsia"/>
          <w:szCs w:val="21"/>
        </w:rPr>
        <w:t>京雄高速公路</w:t>
      </w:r>
      <w:proofErr w:type="gramEnd"/>
      <w:r>
        <w:rPr>
          <w:rFonts w:ascii="微软雅黑" w:eastAsia="微软雅黑" w:hAnsi="微软雅黑" w:cs="微软雅黑" w:hint="eastAsia"/>
          <w:szCs w:val="21"/>
        </w:rPr>
        <w:t>将加快前期工作。其中，</w:t>
      </w:r>
      <w:proofErr w:type="gramStart"/>
      <w:r>
        <w:rPr>
          <w:rFonts w:ascii="微软雅黑" w:eastAsia="微软雅黑" w:hAnsi="微软雅黑" w:cs="微软雅黑" w:hint="eastAsia"/>
          <w:szCs w:val="21"/>
        </w:rPr>
        <w:t>京雄城铁投资</w:t>
      </w:r>
      <w:proofErr w:type="gramEnd"/>
      <w:r>
        <w:rPr>
          <w:rFonts w:ascii="微软雅黑" w:eastAsia="微软雅黑" w:hAnsi="微软雅黑" w:cs="微软雅黑" w:hint="eastAsia"/>
          <w:szCs w:val="21"/>
        </w:rPr>
        <w:t>335.3亿元。据有关部门测算，今年</w:t>
      </w:r>
      <w:proofErr w:type="gramStart"/>
      <w:r>
        <w:rPr>
          <w:rFonts w:ascii="微软雅黑" w:eastAsia="微软雅黑" w:hAnsi="微软雅黑" w:cs="微软雅黑" w:hint="eastAsia"/>
          <w:szCs w:val="21"/>
        </w:rPr>
        <w:t>整个雄安新区</w:t>
      </w:r>
      <w:proofErr w:type="gramEnd"/>
      <w:r>
        <w:rPr>
          <w:rFonts w:ascii="微软雅黑" w:eastAsia="微软雅黑" w:hAnsi="微软雅黑" w:cs="微软雅黑" w:hint="eastAsia"/>
          <w:szCs w:val="21"/>
        </w:rPr>
        <w:t>的投资可望突破千亿元，未来投资总量或达到万亿元级别。</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大规模的政府基建投资和基础设施建设对于2019年投资和增长的稳定作用无可怀疑，但有两个负面作用无人提及。一是政府发债实施财政扩张的挤出效应明显，一方面通过发行债券把民间的资金集中到政府手里，另一方面鼓励民间投资，减少的民间资金从何而来？如果说减税增加了民间的资金，那么，发债又把资金拿走了。我们这里只是指出问题所在，至于挤出效应究竟有多大，这是需要具体计算才能说明的。二是基建投资的效率问题，</w:t>
      </w:r>
      <w:proofErr w:type="gramStart"/>
      <w:r>
        <w:rPr>
          <w:rFonts w:ascii="微软雅黑" w:eastAsia="微软雅黑" w:hAnsi="微软雅黑" w:cs="微软雅黑" w:hint="eastAsia"/>
          <w:szCs w:val="21"/>
        </w:rPr>
        <w:t>发改委</w:t>
      </w:r>
      <w:proofErr w:type="gramEnd"/>
      <w:r>
        <w:rPr>
          <w:rFonts w:ascii="微软雅黑" w:eastAsia="微软雅黑" w:hAnsi="微软雅黑" w:cs="微软雅黑" w:hint="eastAsia"/>
          <w:szCs w:val="21"/>
        </w:rPr>
        <w:t>一再表示，“不搞大水漫灌”，“要精准补短板”，这很好。的确还有一些短板需要补。但总体来看，基础设施已经超前，如果说以前的投资效率不错，</w:t>
      </w:r>
      <w:r>
        <w:rPr>
          <w:rFonts w:ascii="微软雅黑" w:eastAsia="微软雅黑" w:hAnsi="微软雅黑" w:cs="微软雅黑" w:hint="eastAsia"/>
          <w:szCs w:val="21"/>
        </w:rPr>
        <w:lastRenderedPageBreak/>
        <w:t>那么，随着情况的变化，投资效率逐渐下降。据说，有的高铁站建成多年尚未使用，有些高铁、高速人流、车流不多，在那里晒太阳。我们不知道这些投资何时能够收回？何时能够盈利？事实上，</w:t>
      </w:r>
      <w:proofErr w:type="gramStart"/>
      <w:r>
        <w:rPr>
          <w:rFonts w:ascii="微软雅黑" w:eastAsia="微软雅黑" w:hAnsi="微软雅黑" w:cs="微软雅黑" w:hint="eastAsia"/>
          <w:szCs w:val="21"/>
        </w:rPr>
        <w:t>发改委</w:t>
      </w:r>
      <w:proofErr w:type="gramEnd"/>
      <w:r>
        <w:rPr>
          <w:rFonts w:ascii="微软雅黑" w:eastAsia="微软雅黑" w:hAnsi="微软雅黑" w:cs="微软雅黑" w:hint="eastAsia"/>
          <w:szCs w:val="21"/>
        </w:rPr>
        <w:t>管得了投资，却管不了盈利，管不了效率。虽然大家都知道不要追求增长速度，但它仍然是背后的指挥棒，推着政府不得不这样做。这不仅不能推动我们的经济发展向着提质增效的方向发展，而且不利于经济增长方式和经济发展动能的转换。</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2018年，进出口贸易的增长出人预料，全年超过30</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元。按美元计，出口增长9.9%（按人民币增长7.1%），进口增长15.8%（按人民币增长12.9%），贸易顺差3517.6亿美元（按人民币为2.33</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 ）。特别是对美贸易，出口4784亿美元，进口1551亿美元，顺差3233亿美元，相当于全部贸易顺差的91.9%，为2006年以来最高。似乎中美贸易战不仅没有影响中国的对外贸易，反而促进了中国的贸易。这似乎也无人相信。当然，这样的数据不值得庆幸和乐观，事实上，12月的情况已经转向，按美元计，出口下降4.4%，进口下降7.6%，分别创2016年12月和7月以来的最大降幅。这证明全球经济和中国经济趋缓已很明显，抢出口的因素已经消失。我们在第3季度的报告中就根据一些出口商的反应，指出了抢出口的问题，事实上，据有关人士透露，美国西海岸加州一带的仓库已经堆满了来自中国的货物，准备交付2019年的订单。这样一来，2019年第1季度的外贸形势不容乐观，也许是全年最糟糕的一个季度。不仅如此，进口下降虽有大宗商品价格回落的因素，也进一步表明国内需求疲软，经济下行压力增大。特别是在中美贸易战正酣之时，美国对华贸易逆差不减反增，不知是福是祸，的确令人哭笑不得。</w:t>
      </w:r>
    </w:p>
    <w:p w:rsidR="009519D8" w:rsidRDefault="009519D8" w:rsidP="009519D8">
      <w:pPr>
        <w:pStyle w:val="af"/>
        <w:spacing w:line="460" w:lineRule="exact"/>
        <w:rPr>
          <w:rFonts w:ascii="微软雅黑" w:eastAsia="微软雅黑" w:hAnsi="微软雅黑" w:cs="微软雅黑"/>
          <w:b/>
          <w:bCs/>
          <w:szCs w:val="21"/>
        </w:rPr>
      </w:pPr>
      <w:r>
        <w:rPr>
          <w:rFonts w:ascii="微软雅黑" w:eastAsia="微软雅黑" w:hAnsi="微软雅黑" w:cs="微软雅黑" w:hint="eastAsia"/>
          <w:b/>
          <w:bCs/>
          <w:szCs w:val="21"/>
        </w:rPr>
        <w:t>3. 就业形势相当严峻</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从国家统计局公布的数据来看，2018年的就业形势很好。全年城镇新增就业人数1361万人，连续6年保持在1300万人以上，城镇调查失业率全年保持在5%左右，实现了低于5.5%的预期目标。实际上，就业形势相当严峻。</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早在2018年11月2日，李克强主持国务院常务会议，研究</w:t>
      </w:r>
      <w:proofErr w:type="gramStart"/>
      <w:r>
        <w:rPr>
          <w:rFonts w:ascii="微软雅黑" w:eastAsia="微软雅黑" w:hAnsi="微软雅黑" w:cs="微软雅黑" w:hint="eastAsia"/>
          <w:szCs w:val="21"/>
        </w:rPr>
        <w:t>布署</w:t>
      </w:r>
      <w:proofErr w:type="gramEnd"/>
      <w:r>
        <w:rPr>
          <w:rFonts w:ascii="微软雅黑" w:eastAsia="微软雅黑" w:hAnsi="微软雅黑" w:cs="微软雅黑" w:hint="eastAsia"/>
          <w:szCs w:val="21"/>
        </w:rPr>
        <w:t>促进就业问题。12月5日，国务院印发《关于做好当前和今后一个时期促进就业工作的若干意见》，明确指出，当前国内外形势错综复杂，就业压力仍然较大，要把稳就业放在更加突出的地位，坚持就业优先战略和更加积极的就业政策，支持企业稳定岗位，促进就业创业，强化培训服务，确保当前和今后一个时期就业目标任务完成和就业形势持续稳定。重点举措包括，对不裁员或少的参保企业，可返还上年度实际缴纳失业保险费的50%，对</w:t>
      </w:r>
      <w:proofErr w:type="gramStart"/>
      <w:r>
        <w:rPr>
          <w:rFonts w:ascii="微软雅黑" w:eastAsia="微软雅黑" w:hAnsi="微软雅黑" w:cs="微软雅黑" w:hint="eastAsia"/>
          <w:szCs w:val="21"/>
        </w:rPr>
        <w:t>其中面临</w:t>
      </w:r>
      <w:proofErr w:type="gramEnd"/>
      <w:r>
        <w:rPr>
          <w:rFonts w:ascii="微软雅黑" w:eastAsia="微软雅黑" w:hAnsi="微软雅黑" w:cs="微软雅黑" w:hint="eastAsia"/>
          <w:szCs w:val="21"/>
        </w:rPr>
        <w:t>暂时性生产经营困难且恢复有望的，加大返还力度。加大创业担保贷款支持力度，符合条件的个人和小</w:t>
      </w:r>
      <w:proofErr w:type="gramStart"/>
      <w:r>
        <w:rPr>
          <w:rFonts w:ascii="微软雅黑" w:eastAsia="微软雅黑" w:hAnsi="微软雅黑" w:cs="微软雅黑" w:hint="eastAsia"/>
          <w:szCs w:val="21"/>
        </w:rPr>
        <w:t>微企业</w:t>
      </w:r>
      <w:proofErr w:type="gramEnd"/>
      <w:r>
        <w:rPr>
          <w:rFonts w:ascii="微软雅黑" w:eastAsia="微软雅黑" w:hAnsi="微软雅黑" w:cs="微软雅黑" w:hint="eastAsia"/>
          <w:szCs w:val="21"/>
        </w:rPr>
        <w:t>可分别申请最高不超过15万元和300万元的创业担保贷款。实施三年百万青年见习计划，将就业见习补贴范围扩展至16-24岁失业青年。对下岗失业人员普遍开展有政府补贴的培训。及时开展下岗失业人员帮扶，对符合条件的及时落实失业保险待遇，并纳入最低生活保障和救助范围。为了减轻企业负担，促进扩大就业，会议决定，对用人单位和职工失业保险缴费比例总</w:t>
      </w:r>
      <w:r>
        <w:rPr>
          <w:rFonts w:ascii="微软雅黑" w:eastAsia="微软雅黑" w:hAnsi="微软雅黑" w:cs="微软雅黑" w:hint="eastAsia"/>
          <w:szCs w:val="21"/>
        </w:rPr>
        <w:lastRenderedPageBreak/>
        <w:t>和从3%阶段性降至1%的现行政策，明年4月到期后继续实施。应当肯定，这些政策是正确的和及时的，也是可操作的。广东省和深圳市还制定了稳定就业的详细补贴计划。</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失业率与经济增长率、通货膨胀率和国际收支一起构成宏观经济的四大指标，就业问题是宏观经济分析中的一个重要问题。然而，我们一向很少讨论，因为没有数据支持，现在的讨论只是根据对实际情况的观察，也无具体数据。问题在于为什么统计局发布的数据和政策如此背离，看来，我们的就业和失业统计存在严重问题。我们只发布每年新增就业数据，并未减去每年失业的人数，所以就业人数是增加了还是减少了，无法知道。按照2018《中国统计年鉴》的解释，“城镇登记失业人员指非农业户口，在一定的劳动年龄内（16周岁至退休年龄）有劳动能力，无业而要求就业，并在当地劳动保障部门进行失业登记的人员”。“城镇登记失业率 城镇登记失业人员与城镇单位就业人员（扣除使用的农村劳动力、聘用的离退休人员、港澳台及外方人员）城镇单位中的</w:t>
      </w:r>
      <w:proofErr w:type="gramStart"/>
      <w:r>
        <w:rPr>
          <w:rFonts w:ascii="微软雅黑" w:eastAsia="微软雅黑" w:hAnsi="微软雅黑" w:cs="微软雅黑" w:hint="eastAsia"/>
          <w:szCs w:val="21"/>
        </w:rPr>
        <w:t>不</w:t>
      </w:r>
      <w:proofErr w:type="gramEnd"/>
      <w:r>
        <w:rPr>
          <w:rFonts w:ascii="微软雅黑" w:eastAsia="微软雅黑" w:hAnsi="微软雅黑" w:cs="微软雅黑" w:hint="eastAsia"/>
          <w:szCs w:val="21"/>
        </w:rPr>
        <w:t>在岗职工、城镇私营业主、个体户主、城镇私营企业和个体就业人员、城镇登记失业人员之和的比”。很明显，它的统计范围是非农业户口，显然不包括进城务工的2.88亿农民工和城郊非农业户口。计算的分母是城镇单位就业人员加上其他就业人员和登记失业人员，而不是城镇中劳动年龄人口。这样的统计除了说明我们现行政策的城市偏好以外，对研究失业问题没有多大意义。</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根据我们的观察，当前就业问题其所以严峻，主要是由于以下原因和情况。</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一是2018年的环境风暴使不少中小企业关门倒闭，一批工人失业。</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二是中美贸易战使中国内外环境恶化，再加上营商成本加大，一部分外商投资企业外迁到越南等东南亚地区，也使一大批工人下岗失业。</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三是国内实际制度对民营企业的歧视，使一些民营企业无法经营，不是关门歇业，就是外迁他国，也造成一批工人失业。</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四是我们的政府官员多如牛毛检查、达标等，也使一部分企业无法经营。</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总之，破产关门、迁出企业的下岗工人不在少数，我们没有任何调查统计。这才是失业问题的关键。所以要解决</w:t>
      </w:r>
      <w:proofErr w:type="gramStart"/>
      <w:r>
        <w:rPr>
          <w:rFonts w:ascii="微软雅黑" w:eastAsia="微软雅黑" w:hAnsi="微软雅黑" w:cs="微软雅黑" w:hint="eastAsia"/>
          <w:szCs w:val="21"/>
        </w:rPr>
        <w:t>稳就业</w:t>
      </w:r>
      <w:proofErr w:type="gramEnd"/>
      <w:r>
        <w:rPr>
          <w:rFonts w:ascii="微软雅黑" w:eastAsia="微软雅黑" w:hAnsi="微软雅黑" w:cs="微软雅黑" w:hint="eastAsia"/>
          <w:szCs w:val="21"/>
        </w:rPr>
        <w:t>的问题，需将此摆在我们政策关注的中心。</w:t>
      </w:r>
    </w:p>
    <w:p w:rsidR="009519D8" w:rsidRDefault="009519D8" w:rsidP="009519D8">
      <w:pPr>
        <w:pStyle w:val="af"/>
        <w:spacing w:line="460" w:lineRule="exact"/>
        <w:rPr>
          <w:rFonts w:ascii="微软雅黑" w:eastAsia="微软雅黑" w:hAnsi="微软雅黑" w:cs="微软雅黑"/>
          <w:b/>
          <w:bCs/>
          <w:szCs w:val="21"/>
        </w:rPr>
      </w:pPr>
      <w:r>
        <w:rPr>
          <w:rFonts w:ascii="微软雅黑" w:eastAsia="微软雅黑" w:hAnsi="微软雅黑" w:cs="微软雅黑" w:hint="eastAsia"/>
          <w:b/>
          <w:bCs/>
          <w:szCs w:val="21"/>
        </w:rPr>
        <w:t>4. 关于减税政策及其效果</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减税是近几年宏观政策中高频出现的词汇，也是政府稳定经济最重要、最有效的办法，特别是在内外环境不稳定和经济下行的情况下。12月27-28日的全国财政工作会议传出积极信号，2019年将实施更大规模的减税降费政策。财政部长刘昆说，2019年，我国将实行普惠性减税和结构性减税相结合，重点减轻制造业和小</w:t>
      </w:r>
      <w:proofErr w:type="gramStart"/>
      <w:r>
        <w:rPr>
          <w:rFonts w:ascii="微软雅黑" w:eastAsia="微软雅黑" w:hAnsi="微软雅黑" w:cs="微软雅黑" w:hint="eastAsia"/>
          <w:szCs w:val="21"/>
        </w:rPr>
        <w:t>微企业</w:t>
      </w:r>
      <w:proofErr w:type="gramEnd"/>
      <w:r>
        <w:rPr>
          <w:rFonts w:ascii="微软雅黑" w:eastAsia="微软雅黑" w:hAnsi="微软雅黑" w:cs="微软雅黑" w:hint="eastAsia"/>
          <w:szCs w:val="21"/>
        </w:rPr>
        <w:t>税收负担，支持实体经济发展。对小</w:t>
      </w:r>
      <w:proofErr w:type="gramStart"/>
      <w:r>
        <w:rPr>
          <w:rFonts w:ascii="微软雅黑" w:eastAsia="微软雅黑" w:hAnsi="微软雅黑" w:cs="微软雅黑" w:hint="eastAsia"/>
          <w:szCs w:val="21"/>
        </w:rPr>
        <w:t>微企业</w:t>
      </w:r>
      <w:proofErr w:type="gramEnd"/>
      <w:r>
        <w:rPr>
          <w:rFonts w:ascii="微软雅黑" w:eastAsia="微软雅黑" w:hAnsi="微软雅黑" w:cs="微软雅黑" w:hint="eastAsia"/>
          <w:szCs w:val="21"/>
        </w:rPr>
        <w:t>和科技型初创企业实行普惠性税收减免，全面实施修改后的个人所得税法，落实好6项专项附加扣除政策，减轻居民税负。还要推进更为明显的降费，清理规范地方收费项目，加大对乱收费查处和整治力度，加强收费清单“一张网”建设，健全乱收费投诉举报查处机制。1月9日，国务院常务会议决定再推出一批针对小</w:t>
      </w:r>
      <w:proofErr w:type="gramStart"/>
      <w:r>
        <w:rPr>
          <w:rFonts w:ascii="微软雅黑" w:eastAsia="微软雅黑" w:hAnsi="微软雅黑" w:cs="微软雅黑" w:hint="eastAsia"/>
          <w:szCs w:val="21"/>
        </w:rPr>
        <w:t>微企</w:t>
      </w:r>
      <w:r>
        <w:rPr>
          <w:rFonts w:ascii="微软雅黑" w:eastAsia="微软雅黑" w:hAnsi="微软雅黑" w:cs="微软雅黑" w:hint="eastAsia"/>
          <w:szCs w:val="21"/>
        </w:rPr>
        <w:lastRenderedPageBreak/>
        <w:t>业</w:t>
      </w:r>
      <w:proofErr w:type="gramEnd"/>
      <w:r>
        <w:rPr>
          <w:rFonts w:ascii="微软雅黑" w:eastAsia="微软雅黑" w:hAnsi="微软雅黑" w:cs="微软雅黑" w:hint="eastAsia"/>
          <w:szCs w:val="21"/>
        </w:rPr>
        <w:t>的普惠性减税措施，预计每年可再为小</w:t>
      </w:r>
      <w:proofErr w:type="gramStart"/>
      <w:r>
        <w:rPr>
          <w:rFonts w:ascii="微软雅黑" w:eastAsia="微软雅黑" w:hAnsi="微软雅黑" w:cs="微软雅黑" w:hint="eastAsia"/>
          <w:szCs w:val="21"/>
        </w:rPr>
        <w:t>微企业</w:t>
      </w:r>
      <w:proofErr w:type="gramEnd"/>
      <w:r>
        <w:rPr>
          <w:rFonts w:ascii="微软雅黑" w:eastAsia="微软雅黑" w:hAnsi="微软雅黑" w:cs="微软雅黑" w:hint="eastAsia"/>
          <w:szCs w:val="21"/>
        </w:rPr>
        <w:t>减负约2000亿元。紧接着，财政部和税务总局发布《关于实施小微企业普惠性税收减免的通知》和有关征管问题的公告。规定对月销售额10万元以下（含本数）的增值税小规模纳税人免征增值税，对小型微利企业年应纳税所得额不超过100万元的部分，减按25%计入应纳税所得额，按20%的税率缴纳企业所得税；对年应纳税所得额超过100万元但不超过300万元的部分，减按50%计入应纳税所得额，按20%的税率缴纳企业所得税。开始了新一年减税降</w:t>
      </w:r>
      <w:proofErr w:type="gramStart"/>
      <w:r>
        <w:rPr>
          <w:rFonts w:ascii="微软雅黑" w:eastAsia="微软雅黑" w:hAnsi="微软雅黑" w:cs="微软雅黑" w:hint="eastAsia"/>
          <w:szCs w:val="21"/>
        </w:rPr>
        <w:t>费政策</w:t>
      </w:r>
      <w:proofErr w:type="gramEnd"/>
      <w:r>
        <w:rPr>
          <w:rFonts w:ascii="微软雅黑" w:eastAsia="微软雅黑" w:hAnsi="微软雅黑" w:cs="微软雅黑" w:hint="eastAsia"/>
          <w:szCs w:val="21"/>
        </w:rPr>
        <w:t>的实施。</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2017年，政府实行营改增，据说减税6000亿元，但不少企业反应税负不减反增。2018年政府推出了更大的减税措施，全年预计减税降费超过1.3</w:t>
      </w:r>
      <w:proofErr w:type="gramStart"/>
      <w:r>
        <w:rPr>
          <w:rFonts w:ascii="微软雅黑" w:eastAsia="微软雅黑" w:hAnsi="微软雅黑" w:cs="微软雅黑" w:hint="eastAsia"/>
          <w:szCs w:val="21"/>
        </w:rPr>
        <w:t>万亿</w:t>
      </w:r>
      <w:proofErr w:type="gramEnd"/>
      <w:r>
        <w:rPr>
          <w:rFonts w:ascii="微软雅黑" w:eastAsia="微软雅黑" w:hAnsi="微软雅黑" w:cs="微软雅黑" w:hint="eastAsia"/>
          <w:szCs w:val="21"/>
        </w:rPr>
        <w:t>元。但是，正如财政科学研究</w:t>
      </w:r>
      <w:proofErr w:type="gramStart"/>
      <w:r>
        <w:rPr>
          <w:rFonts w:ascii="微软雅黑" w:eastAsia="微软雅黑" w:hAnsi="微软雅黑" w:cs="微软雅黑" w:hint="eastAsia"/>
          <w:szCs w:val="21"/>
        </w:rPr>
        <w:t>院财政</w:t>
      </w:r>
      <w:proofErr w:type="gramEnd"/>
      <w:r>
        <w:rPr>
          <w:rFonts w:ascii="微软雅黑" w:eastAsia="微软雅黑" w:hAnsi="微软雅黑" w:cs="微软雅黑" w:hint="eastAsia"/>
          <w:szCs w:val="21"/>
        </w:rPr>
        <w:t>与国家治理研究中心副主任陈龙回答《证券日报》记者所说，“企业并没有感到明显的减税感”。他分析了四个原因，一是受征管强化、传导机制不畅等原因，削弱了减税的效果；二是企业经营困难加大，利润下降，降低了企业的获得感；三是减税效应的迟滞性；四是零敲碎打式的减税方式，一方面减税力度不够，另一方面不利于引导市场预期，甚至导致“出力不讨好”的状况。我们认为，这种分析有一定道理。不过，还有一些更根本的原因，比如，政府和纳税人的平等交易关系并未建立，税收征管人员的强势地位，使得小</w:t>
      </w:r>
      <w:proofErr w:type="gramStart"/>
      <w:r>
        <w:rPr>
          <w:rFonts w:ascii="微软雅黑" w:eastAsia="微软雅黑" w:hAnsi="微软雅黑" w:cs="微软雅黑" w:hint="eastAsia"/>
          <w:szCs w:val="21"/>
        </w:rPr>
        <w:t>微企业</w:t>
      </w:r>
      <w:proofErr w:type="gramEnd"/>
      <w:r>
        <w:rPr>
          <w:rFonts w:ascii="微软雅黑" w:eastAsia="微软雅黑" w:hAnsi="微软雅黑" w:cs="微软雅黑" w:hint="eastAsia"/>
          <w:szCs w:val="21"/>
        </w:rPr>
        <w:t>和民营企业只能听其摆布，即使强征多征，哪个企业敢于告发？再如，预征预缴，多征不退，据</w:t>
      </w:r>
      <w:proofErr w:type="gramStart"/>
      <w:r>
        <w:rPr>
          <w:rFonts w:ascii="微软雅黑" w:eastAsia="微软雅黑" w:hAnsi="微软雅黑" w:cs="微软雅黑" w:hint="eastAsia"/>
          <w:szCs w:val="21"/>
        </w:rPr>
        <w:t>许善达估计</w:t>
      </w:r>
      <w:proofErr w:type="gramEnd"/>
      <w:r>
        <w:rPr>
          <w:rFonts w:ascii="微软雅黑" w:eastAsia="微软雅黑" w:hAnsi="微软雅黑" w:cs="微软雅黑" w:hint="eastAsia"/>
          <w:szCs w:val="21"/>
        </w:rPr>
        <w:t>多达上万亿元，实际上是政府对企业的负债，再加征税任务和指标，重复征税，征过头税现象时有发生。还如，零敲碎打、规定繁琐，征税人和纳税人都搞不清楚，实际执行相当困难等。所以，不仅要出台减税降费措施，而且要重视减税降费效果。不然，好政策也会失去人心。</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还有，这次对小</w:t>
      </w:r>
      <w:proofErr w:type="gramStart"/>
      <w:r>
        <w:rPr>
          <w:rFonts w:ascii="微软雅黑" w:eastAsia="微软雅黑" w:hAnsi="微软雅黑" w:cs="微软雅黑" w:hint="eastAsia"/>
          <w:szCs w:val="21"/>
        </w:rPr>
        <w:t>微企业</w:t>
      </w:r>
      <w:proofErr w:type="gramEnd"/>
      <w:r>
        <w:rPr>
          <w:rFonts w:ascii="微软雅黑" w:eastAsia="微软雅黑" w:hAnsi="微软雅黑" w:cs="微软雅黑" w:hint="eastAsia"/>
          <w:szCs w:val="21"/>
        </w:rPr>
        <w:t>实施普惠性减免税是一个进步，但只是对小微企业，不能算是真正的普惠。其实，笔者不大赞成结构性减税，它违背税收公平的原则，也难以检查其实施效果，而且还把减税变成了政府对纳税人的恩惠，扭曲了政府与纳税人的关系。几年减税效果不彰就是证明。与其一年国务院十次八次研究出台有关减税降费政策，</w:t>
      </w:r>
      <w:proofErr w:type="gramStart"/>
      <w:r>
        <w:rPr>
          <w:rFonts w:ascii="微软雅黑" w:eastAsia="微软雅黑" w:hAnsi="微软雅黑" w:cs="微软雅黑" w:hint="eastAsia"/>
          <w:szCs w:val="21"/>
        </w:rPr>
        <w:t>不</w:t>
      </w:r>
      <w:proofErr w:type="gramEnd"/>
      <w:r>
        <w:rPr>
          <w:rFonts w:ascii="微软雅黑" w:eastAsia="微软雅黑" w:hAnsi="微软雅黑" w:cs="微软雅黑" w:hint="eastAsia"/>
          <w:szCs w:val="21"/>
        </w:rPr>
        <w:t>如下决心从根本上解决问题。精简</w:t>
      </w:r>
      <w:proofErr w:type="gramStart"/>
      <w:r>
        <w:rPr>
          <w:rFonts w:ascii="微软雅黑" w:eastAsia="微软雅黑" w:hAnsi="微软雅黑" w:cs="微软雅黑" w:hint="eastAsia"/>
          <w:szCs w:val="21"/>
        </w:rPr>
        <w:t>合并种税税目</w:t>
      </w:r>
      <w:proofErr w:type="gramEnd"/>
      <w:r>
        <w:rPr>
          <w:rFonts w:ascii="微软雅黑" w:eastAsia="微软雅黑" w:hAnsi="微软雅黑" w:cs="微软雅黑" w:hint="eastAsia"/>
          <w:szCs w:val="21"/>
        </w:rPr>
        <w:t>，抓住主要税费实行减税降费，比如，增值税能否从现在的三档减为两档，税率各调降2-3个百分点；企业所得税也可以大幅降低；社保经交费</w:t>
      </w:r>
      <w:proofErr w:type="gramStart"/>
      <w:r>
        <w:rPr>
          <w:rFonts w:ascii="微软雅黑" w:eastAsia="微软雅黑" w:hAnsi="微软雅黑" w:cs="微软雅黑" w:hint="eastAsia"/>
          <w:szCs w:val="21"/>
        </w:rPr>
        <w:t>率能否</w:t>
      </w:r>
      <w:proofErr w:type="gramEnd"/>
      <w:r>
        <w:rPr>
          <w:rFonts w:ascii="微软雅黑" w:eastAsia="微软雅黑" w:hAnsi="微软雅黑" w:cs="微软雅黑" w:hint="eastAsia"/>
          <w:szCs w:val="21"/>
        </w:rPr>
        <w:t>不超过10%。当然，要做到这一点，精兵减政是前提。现在，这么庞大的行政机构，这么多的行政人员，现行机构不用，成立那么多领导小组，每个小组都要搞一个办公室，机构和人员不减反增，甚至还要增加一个收费的名目，怎么能减税降费呢？</w:t>
      </w:r>
    </w:p>
    <w:p w:rsidR="009519D8" w:rsidRDefault="009519D8" w:rsidP="009519D8">
      <w:pPr>
        <w:pStyle w:val="af"/>
        <w:spacing w:line="460" w:lineRule="exact"/>
        <w:ind w:left="720"/>
        <w:rPr>
          <w:rFonts w:ascii="微软雅黑" w:eastAsia="微软雅黑" w:hAnsi="微软雅黑" w:cs="微软雅黑"/>
          <w:szCs w:val="21"/>
        </w:rPr>
      </w:pPr>
    </w:p>
    <w:p w:rsidR="009519D8" w:rsidRDefault="009519D8" w:rsidP="009519D8">
      <w:pPr>
        <w:pStyle w:val="af"/>
        <w:spacing w:line="460" w:lineRule="exact"/>
        <w:jc w:val="left"/>
        <w:rPr>
          <w:rFonts w:ascii="微软雅黑" w:eastAsia="微软雅黑" w:hAnsi="微软雅黑" w:cs="微软雅黑"/>
          <w:b/>
          <w:szCs w:val="21"/>
        </w:rPr>
      </w:pPr>
      <w:r>
        <w:rPr>
          <w:rFonts w:ascii="微软雅黑" w:eastAsia="微软雅黑" w:hAnsi="微软雅黑" w:cs="微软雅黑" w:hint="eastAsia"/>
          <w:b/>
          <w:szCs w:val="21"/>
        </w:rPr>
        <w:t>四，体制分析</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2018年是中国改革开放40周年，国内外召开了不少纪念会和讨论会，总结改革开放的经验教训，确</w:t>
      </w:r>
      <w:proofErr w:type="gramStart"/>
      <w:r>
        <w:rPr>
          <w:rFonts w:ascii="微软雅黑" w:eastAsia="微软雅黑" w:hAnsi="微软雅黑" w:cs="微软雅黑" w:hint="eastAsia"/>
          <w:szCs w:val="21"/>
        </w:rPr>
        <w:t>有点你</w:t>
      </w:r>
      <w:proofErr w:type="gramEnd"/>
      <w:r>
        <w:rPr>
          <w:rFonts w:ascii="微软雅黑" w:eastAsia="微软雅黑" w:hAnsi="微软雅黑" w:cs="微软雅黑" w:hint="eastAsia"/>
          <w:szCs w:val="21"/>
        </w:rPr>
        <w:t>方唱罢我登场的味道而且观点也不一致，甚至相反。即使官方的正统立场，也有不少不同意见。本人经历了改革开放的全过程，既为其大造舆论，也参与过一些实践，借此，我们也想谈谈自己</w:t>
      </w:r>
      <w:r>
        <w:rPr>
          <w:rFonts w:ascii="微软雅黑" w:eastAsia="微软雅黑" w:hAnsi="微软雅黑" w:cs="微软雅黑" w:hint="eastAsia"/>
          <w:szCs w:val="21"/>
        </w:rPr>
        <w:lastRenderedPageBreak/>
        <w:t>的看法，而且按国人的传统，凑了十条，不管好坏对错也是一家之言，供有兴趣的善思者参考。</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首先，</w:t>
      </w:r>
      <w:r>
        <w:rPr>
          <w:rFonts w:ascii="微软雅黑" w:eastAsia="微软雅黑" w:hAnsi="微软雅黑" w:cs="微软雅黑" w:hint="eastAsia"/>
          <w:szCs w:val="21"/>
        </w:rPr>
        <w:t>改革开放不是在形势好的时候发生的，而是日子混不下去时候的选择，而且失败得越惨，改革有可能越彻底。由于十年文革的破坏，国民经济到了崩溃的边缘，共产党在大陆</w:t>
      </w:r>
      <w:proofErr w:type="gramStart"/>
      <w:r>
        <w:rPr>
          <w:rFonts w:ascii="微软雅黑" w:eastAsia="微软雅黑" w:hAnsi="微软雅黑" w:cs="微软雅黑" w:hint="eastAsia"/>
          <w:szCs w:val="21"/>
        </w:rPr>
        <w:t>建政治理</w:t>
      </w:r>
      <w:proofErr w:type="gramEnd"/>
      <w:r>
        <w:rPr>
          <w:rFonts w:ascii="微软雅黑" w:eastAsia="微软雅黑" w:hAnsi="微软雅黑" w:cs="微软雅黑" w:hint="eastAsia"/>
          <w:szCs w:val="21"/>
        </w:rPr>
        <w:t>30年，老百姓还填不饱肚子，继续统治的合法性受到威胁，发生动摇。因此，不得不改弦更张，放弃计划经济的老路，走向市场经济的新途。但共产党并未失败，还保持着对大陆的统治，因此，不可能根本改变以前的制度结构。</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其次，</w:t>
      </w:r>
      <w:r>
        <w:rPr>
          <w:rFonts w:ascii="微软雅黑" w:eastAsia="微软雅黑" w:hAnsi="微软雅黑" w:cs="微软雅黑" w:hint="eastAsia"/>
          <w:szCs w:val="21"/>
        </w:rPr>
        <w:t>改革开放的成败取决于对过去所犯错误的认识和反省。改革的主要成果，一是批判和放弃了以阶级斗争为纲的错误，把全党工作的重心转移到以经济建设为中心的轨道上来，并坚持发展是硬道理，因而取得了经济发展的辉煌成就。二是认识到过去的计划体制是政府管得过多，控制太死，因而在改革开放初期，政府放松管制，放弃和下放了一部分权力，因而激活了民间的积极性，但到了后期又加强管制，不仅企图垄断全部公共事务，甚至以新的方式把手伸进私人领域，扼杀了民间的活力。至于对过去的主要错误，如土改、合作化和公社化、对资改造、反右派、反右倾等，并未真正认识和深刻检讨，相反，1981年通过的《历史问题决议》认为，建国32年的历史是“我们党在马克思列宁主义、毛泽东思想指导下，领导全国各族人民进行社会主义革命和社会主义建设并取得巨大成就的历史”。甚至对文革的认识也从深重的“灾难”变成了可贵的“探索”。这既决定了我们改革开放能走多远，也决定了我们今天的局面。可见，认错的程度制约着纠错的能力和水平，反思的深度决定了改革成败的程度。</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第三，</w:t>
      </w:r>
      <w:r>
        <w:rPr>
          <w:rFonts w:ascii="微软雅黑" w:eastAsia="微软雅黑" w:hAnsi="微软雅黑" w:cs="微软雅黑" w:hint="eastAsia"/>
          <w:szCs w:val="21"/>
        </w:rPr>
        <w:t>对外开放是中国重大的战略调整，在改革发展中起了重要作用，可以说是以开放促改革，促发展。这种战略调整是从过去的“一边倒”（向苏联）改变为向发达国家开放，这是中国全方位开放的主要方向和主要经验。中美贸易争端和一些发达国家对中国态度的改变，恐怕与我们开放方向的动摇有关。这就恶化了我们的国际环境。不仅如此，对外开放先要对内开放，对外开放的基础才能更为扎实和稳固。这方面的处理也多有失误。</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第四，</w:t>
      </w:r>
      <w:r>
        <w:rPr>
          <w:rFonts w:ascii="微软雅黑" w:eastAsia="微软雅黑" w:hAnsi="微软雅黑" w:cs="微软雅黑" w:hint="eastAsia"/>
          <w:szCs w:val="21"/>
        </w:rPr>
        <w:t>改革开放是一场深刻的社会变革，首先需要解放思想，形成一个自由言说的思想市场。改革开放初期开展的“实践检验真理”的大讨论，以及理论务虚会的召开，在一定程度上起到了这样的作用。但邓小平提出“四项基本原则”，对言论自由设定了范围和限制，理论务虚会草草收场。关于社会主义经济是计划经济还是商品经济的第一场大辩论，因陈云春节讲话纠偏而转向，形成对有计划商品经济的大批判。赵紫阳给政治局常委写信，在商品经济前加上“公有制为基础有计划”的定语，获得邓小平和陈云肯定，才将其写进《改革决定》。第二场辩论中，皇甫平传达邓小平思想，受到中央主要报刊的全面批判，第二年邓小平南巡发动反击，理论界接受了上次不战而降的教训，几乎都在工具论意义上接受了市场经济，14大做出了关于建立社会主义市场经济体制的决定。可见，两次理论辩论都有保留，形成的共识似是而非，辩论的方式也是隔空喊话，邓小平甚至倡导“不争论”，始终未能形</w:t>
      </w:r>
      <w:r>
        <w:rPr>
          <w:rFonts w:ascii="微软雅黑" w:eastAsia="微软雅黑" w:hAnsi="微软雅黑" w:cs="微软雅黑" w:hint="eastAsia"/>
          <w:szCs w:val="21"/>
        </w:rPr>
        <w:lastRenderedPageBreak/>
        <w:t>成一个自由言说的思想市场。现在更没有了自由讨论的空间。</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第五，</w:t>
      </w:r>
      <w:r>
        <w:rPr>
          <w:rFonts w:ascii="微软雅黑" w:eastAsia="微软雅黑" w:hAnsi="微软雅黑" w:cs="微软雅黑" w:hint="eastAsia"/>
          <w:szCs w:val="21"/>
        </w:rPr>
        <w:t>改革是一场全方位的变革，特别是政治体制改革和经济体制改革必须同时进行，相互促进。我们的经济改革的确有不少创造和突破，比如，后面要讲的双轨制、地区竞争、农村承包等，但政治改革善乏可陈，其最大成果是打破了干部终身制，实现了年轻化，但没有坚持下来。搞乡镇直选试点发生了扭曲，不了了之。不仅行政官员由组织部门管理，国企老总也由党委任命，甚至连非国有企业和社会团体也要建立党的组织。总之，大陆初期的政治改革左顾右盼，保留太多，后期放弃，经济改革也就难免走回头路。</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第六，</w:t>
      </w:r>
      <w:r>
        <w:rPr>
          <w:rFonts w:ascii="微软雅黑" w:eastAsia="微软雅黑" w:hAnsi="微软雅黑" w:cs="微软雅黑" w:hint="eastAsia"/>
          <w:szCs w:val="21"/>
        </w:rPr>
        <w:t>中国改革其所以推动了经济发展，最根本的是由于政府放松了管制，使老百姓有了自由生存和活动的空间，从而释放出巨大的创造力。中国市场的形成和发展，得益于民营经济的复生和发展，而不是国有经济的扩张和壮大。这些后来都发生了反复。地区竞争在中国的经济发展中起了重要作用，但地方竞争不同于市场竞争，在政府官员既当裁判又当球员的框架下，其正反两个方面的</w:t>
      </w:r>
      <w:proofErr w:type="gramStart"/>
      <w:r>
        <w:rPr>
          <w:rFonts w:ascii="微软雅黑" w:eastAsia="微软雅黑" w:hAnsi="微软雅黑" w:cs="微软雅黑" w:hint="eastAsia"/>
          <w:szCs w:val="21"/>
        </w:rPr>
        <w:t>作用此</w:t>
      </w:r>
      <w:proofErr w:type="gramEnd"/>
      <w:r>
        <w:rPr>
          <w:rFonts w:ascii="微软雅黑" w:eastAsia="微软雅黑" w:hAnsi="微软雅黑" w:cs="微软雅黑" w:hint="eastAsia"/>
          <w:szCs w:val="21"/>
        </w:rPr>
        <w:t>消彼长，现在不仅扭曲了政府行为，也扭曲了市场行为。</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第七，</w:t>
      </w:r>
      <w:r>
        <w:rPr>
          <w:rFonts w:ascii="微软雅黑" w:eastAsia="微软雅黑" w:hAnsi="微软雅黑" w:cs="微软雅黑" w:hint="eastAsia"/>
          <w:szCs w:val="21"/>
        </w:rPr>
        <w:t>取消公社制度，实行联产承包责任制，是中国农村改革的巨大成就，再加上农产品提价，一举解决了十亿人的吃饭问题，推动了非农产业的发展和农民工进城务工。但82宪法规定城镇的土地是国有的，农村的土地是集体的，以宪法侵权的方式推动改革，政府垄断了土地一级市场，不仅再次剥夺农民，形成了土地财政，而且成为农村土地市场化的障碍。金融改革虽有前进，但立足于控制而非放活，结果是地价、利率、汇率三大价格仍处于扭曲状态。</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第八，</w:t>
      </w:r>
      <w:r>
        <w:rPr>
          <w:rFonts w:ascii="微软雅黑" w:eastAsia="微软雅黑" w:hAnsi="微软雅黑" w:cs="微软雅黑" w:hint="eastAsia"/>
          <w:szCs w:val="21"/>
        </w:rPr>
        <w:t>双轨制是中国改革的创造，因为改革过程总是两种体制并存运行的过程。它能够照顾到受损者的利益，使改革易于启动和进行，但也容易造成扭曲，为旧体制复归留下空间。因此双轨制不可久拖不决，更不能长期实施，改革的时限也不能过长。对此，决策者应当清醒，必须创造条件尽快并轨，但我们在很多方面将其固化，以至40年过去了，还在谈改革。</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第九，</w:t>
      </w:r>
      <w:r>
        <w:rPr>
          <w:rFonts w:ascii="微软雅黑" w:eastAsia="微软雅黑" w:hAnsi="微软雅黑" w:cs="微软雅黑" w:hint="eastAsia"/>
          <w:szCs w:val="21"/>
        </w:rPr>
        <w:t>改革需要方向明确，目标坚定，一步一步稳扎稳打，虽然会遇到障碍和挫折，但不应改变方向，放弃目标。8964是中国改革开放遭遇的最大挫折，尽管邓小平南巡力挽狂澜，重回改革开放，但方向和目标已经偏移，此后虽然改革还在推进，但路径依赖已经发生了锁定。</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b/>
          <w:bCs/>
          <w:szCs w:val="21"/>
        </w:rPr>
        <w:t>第十，</w:t>
      </w:r>
      <w:r>
        <w:rPr>
          <w:rFonts w:ascii="微软雅黑" w:eastAsia="微软雅黑" w:hAnsi="微软雅黑" w:cs="微软雅黑" w:hint="eastAsia"/>
          <w:szCs w:val="21"/>
        </w:rPr>
        <w:t>改革都是自上而下的变革，因此，决策者和执行者的理念、素质和能力非常关键。只有牢牢树立了现代思想和现代观念，决心完成中国的现代化改造，才有可能引领中国回归和自立于现代世界民族之林。如果没有现代思想，但还有自知之明，眼睛向下，善于学习，问题也不难解决。怕就怕不懂装懂，刚腹自用，唯我独尊，到处摆出一副教师爷的架式，又迷恋权力，盲目蛮干。这样做就没有不失败的，中国的前进和发展必将遭受巨大挫折。</w:t>
      </w:r>
    </w:p>
    <w:p w:rsidR="009519D8" w:rsidRDefault="009519D8" w:rsidP="009519D8">
      <w:pPr>
        <w:pStyle w:val="af"/>
        <w:spacing w:line="460" w:lineRule="exact"/>
        <w:ind w:left="720"/>
        <w:rPr>
          <w:rFonts w:ascii="微软雅黑" w:eastAsia="微软雅黑" w:hAnsi="微软雅黑" w:cs="微软雅黑"/>
          <w:szCs w:val="21"/>
        </w:rPr>
      </w:pPr>
    </w:p>
    <w:p w:rsidR="009519D8" w:rsidRDefault="009519D8" w:rsidP="009519D8">
      <w:pPr>
        <w:pStyle w:val="af"/>
        <w:spacing w:line="460" w:lineRule="exact"/>
        <w:jc w:val="left"/>
        <w:rPr>
          <w:rFonts w:ascii="微软雅黑" w:eastAsia="微软雅黑" w:hAnsi="微软雅黑" w:cs="微软雅黑"/>
          <w:b/>
          <w:szCs w:val="21"/>
        </w:rPr>
      </w:pPr>
      <w:r>
        <w:rPr>
          <w:rFonts w:ascii="微软雅黑" w:eastAsia="微软雅黑" w:hAnsi="微软雅黑" w:cs="微软雅黑" w:hint="eastAsia"/>
          <w:b/>
          <w:szCs w:val="21"/>
        </w:rPr>
        <w:t>五，趋势预测</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lastRenderedPageBreak/>
        <w:t>2019年，全球经济走低几乎成为所有机构和人士的共同预期。世界银行称之为“阴云密布”，并调低了今明两年的增长预期。预计2019年全球经济增长2.9%，2020年增长2.8%，均低于去年6月预测0.1个百分点。这是全球经济增速放缓的第二年，2018年3%，2017年3.1%。其中美国维持在2.5%不变，但低于2018年的2.9%。欧元区19</w:t>
      </w:r>
      <w:proofErr w:type="gramStart"/>
      <w:r>
        <w:rPr>
          <w:rFonts w:ascii="微软雅黑" w:eastAsia="微软雅黑" w:hAnsi="微软雅黑" w:cs="微软雅黑" w:hint="eastAsia"/>
          <w:szCs w:val="21"/>
        </w:rPr>
        <w:t>国增长</w:t>
      </w:r>
      <w:proofErr w:type="gramEnd"/>
      <w:r>
        <w:rPr>
          <w:rFonts w:ascii="微软雅黑" w:eastAsia="微软雅黑" w:hAnsi="微软雅黑" w:cs="微软雅黑" w:hint="eastAsia"/>
          <w:szCs w:val="21"/>
        </w:rPr>
        <w:t>1.6%，低于去年的1.9%。中国增长6.2%，低于上年6.5%。只有日本的经济增长从2018年的0.8%上调至0.9%。世行还预测，2019年的世界贸易从2018年的3.8%和2017年的5.4%放缓至3.6%。其原因在于中美贸易冲突，美国加息和美元升值，金融市场无序性增加，英国在未达成协议的情况下脱欧，双方都会蒙受巨大的经济损失，并影响与之相关的东欧和北非国家。经合组织根据先行指数也认为全球经济将进一步放缓。牛津经济咨询社认为，欧洲经济增长疲软，主要是作为火车头的德国增长乏力，2019年的经济增长将低于1.5%，比去年3月普遍预测低0.4个百分点。CEEM《全球宏观经济季度报告》指出，2018年第4季度中国外部经济景气程度继续下行，CEEM-PMI为53.3，较上季下降1.5个百分点。美国和欧元区经济景气程度明显下滑，全球经济景气进入周期下半场。可见，英雄所见略同，大家预期基本一致。</w:t>
      </w:r>
    </w:p>
    <w:p w:rsidR="009519D8" w:rsidRDefault="009519D8" w:rsidP="009519D8">
      <w:pPr>
        <w:pStyle w:val="af"/>
        <w:spacing w:line="460" w:lineRule="exact"/>
        <w:rPr>
          <w:rFonts w:ascii="微软雅黑" w:eastAsia="微软雅黑" w:hAnsi="微软雅黑" w:cs="微软雅黑"/>
          <w:szCs w:val="21"/>
        </w:rPr>
      </w:pPr>
      <w:r>
        <w:rPr>
          <w:rFonts w:ascii="微软雅黑" w:eastAsia="微软雅黑" w:hAnsi="微软雅黑" w:cs="微软雅黑" w:hint="eastAsia"/>
          <w:szCs w:val="21"/>
        </w:rPr>
        <w:t>国内经济下行的趋势已很明显，且内外形势趋紧，即使中美贸易谈判能够达成某种谅解，中美争端也会长期化，经济工作会议提出“六稳定”，强调化解面临的风险，成为今年经济工作的主调。据此，对2019年第1季度和全年的经济预测如下。</w:t>
      </w:r>
    </w:p>
    <w:p w:rsidR="009519D8" w:rsidRDefault="009519D8" w:rsidP="009519D8">
      <w:pPr>
        <w:spacing w:line="180" w:lineRule="exact"/>
        <w:ind w:firstLine="539"/>
        <w:rPr>
          <w:rFonts w:ascii="微软雅黑" w:eastAsia="微软雅黑" w:hAnsi="微软雅黑" w:cs="微软雅黑"/>
          <w:szCs w:val="21"/>
        </w:rPr>
      </w:pPr>
    </w:p>
    <w:tbl>
      <w:tblPr>
        <w:tblW w:w="92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7"/>
        <w:gridCol w:w="1847"/>
        <w:gridCol w:w="1860"/>
        <w:gridCol w:w="1812"/>
        <w:gridCol w:w="1896"/>
      </w:tblGrid>
      <w:tr w:rsidR="009519D8" w:rsidTr="00B4221C">
        <w:trPr>
          <w:cantSplit/>
          <w:trHeight w:val="463"/>
        </w:trPr>
        <w:tc>
          <w:tcPr>
            <w:tcW w:w="1877" w:type="dxa"/>
            <w:vMerge w:val="restart"/>
            <w:tcBorders>
              <w:tl2br w:val="single" w:sz="4" w:space="0" w:color="auto"/>
            </w:tcBorders>
          </w:tcPr>
          <w:p w:rsidR="009519D8" w:rsidRDefault="009519D8" w:rsidP="00B4221C">
            <w:pPr>
              <w:spacing w:line="360" w:lineRule="exact"/>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 xml:space="preserve">      季度</w:t>
            </w:r>
          </w:p>
          <w:p w:rsidR="009519D8" w:rsidRDefault="009519D8" w:rsidP="00B4221C">
            <w:pPr>
              <w:spacing w:line="360" w:lineRule="exact"/>
              <w:rPr>
                <w:rFonts w:ascii="微软雅黑" w:eastAsia="微软雅黑" w:hAnsi="微软雅黑" w:cs="微软雅黑"/>
                <w:b/>
                <w:color w:val="1A1AA6"/>
                <w:szCs w:val="21"/>
              </w:rPr>
            </w:pPr>
          </w:p>
          <w:p w:rsidR="009519D8" w:rsidRDefault="009519D8" w:rsidP="00B4221C">
            <w:pPr>
              <w:spacing w:line="360" w:lineRule="exact"/>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经济指标</w:t>
            </w:r>
          </w:p>
        </w:tc>
        <w:tc>
          <w:tcPr>
            <w:tcW w:w="1847" w:type="dxa"/>
          </w:tcPr>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2018年全年</w:t>
            </w:r>
          </w:p>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（实际）</w:t>
            </w:r>
          </w:p>
        </w:tc>
        <w:tc>
          <w:tcPr>
            <w:tcW w:w="1860" w:type="dxa"/>
          </w:tcPr>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2018年1季度（实际）</w:t>
            </w:r>
          </w:p>
        </w:tc>
        <w:tc>
          <w:tcPr>
            <w:tcW w:w="1812" w:type="dxa"/>
          </w:tcPr>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2019年1季度</w:t>
            </w:r>
          </w:p>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（预测）</w:t>
            </w:r>
          </w:p>
        </w:tc>
        <w:tc>
          <w:tcPr>
            <w:tcW w:w="1896" w:type="dxa"/>
          </w:tcPr>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2019年全年</w:t>
            </w:r>
          </w:p>
          <w:p w:rsidR="009519D8" w:rsidRDefault="009519D8" w:rsidP="00B4221C">
            <w:pPr>
              <w:spacing w:line="360" w:lineRule="exact"/>
              <w:jc w:val="center"/>
              <w:rPr>
                <w:rFonts w:ascii="微软雅黑" w:eastAsia="微软雅黑" w:hAnsi="微软雅黑" w:cs="微软雅黑"/>
                <w:b/>
                <w:color w:val="1A1AA6"/>
                <w:szCs w:val="21"/>
              </w:rPr>
            </w:pPr>
            <w:r>
              <w:rPr>
                <w:rFonts w:ascii="微软雅黑" w:eastAsia="微软雅黑" w:hAnsi="微软雅黑" w:cs="微软雅黑" w:hint="eastAsia"/>
                <w:b/>
                <w:color w:val="1A1AA6"/>
                <w:szCs w:val="21"/>
              </w:rPr>
              <w:t>（预测）</w:t>
            </w:r>
          </w:p>
        </w:tc>
      </w:tr>
      <w:tr w:rsidR="009519D8" w:rsidTr="00B4221C">
        <w:trPr>
          <w:cantSplit/>
          <w:trHeight w:val="285"/>
        </w:trPr>
        <w:tc>
          <w:tcPr>
            <w:tcW w:w="1877" w:type="dxa"/>
            <w:vMerge/>
          </w:tcPr>
          <w:p w:rsidR="009519D8" w:rsidRDefault="009519D8" w:rsidP="00B4221C">
            <w:pPr>
              <w:spacing w:line="360" w:lineRule="exact"/>
              <w:rPr>
                <w:rFonts w:ascii="微软雅黑" w:eastAsia="微软雅黑" w:hAnsi="微软雅黑" w:cs="微软雅黑"/>
                <w:szCs w:val="21"/>
              </w:rPr>
            </w:pPr>
          </w:p>
        </w:tc>
        <w:tc>
          <w:tcPr>
            <w:tcW w:w="184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增长（%）</w:t>
            </w:r>
          </w:p>
        </w:tc>
        <w:tc>
          <w:tcPr>
            <w:tcW w:w="1860"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增长（%）</w:t>
            </w:r>
          </w:p>
        </w:tc>
        <w:tc>
          <w:tcPr>
            <w:tcW w:w="1812"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增长（%）</w:t>
            </w:r>
          </w:p>
        </w:tc>
        <w:tc>
          <w:tcPr>
            <w:tcW w:w="1896"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增长（%）</w:t>
            </w:r>
          </w:p>
        </w:tc>
      </w:tr>
      <w:tr w:rsidR="009519D8" w:rsidTr="00B4221C">
        <w:trPr>
          <w:cantSplit/>
          <w:trHeight w:val="493"/>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GDP</w:t>
            </w:r>
          </w:p>
        </w:tc>
        <w:tc>
          <w:tcPr>
            <w:tcW w:w="1847"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6.6</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6.8</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5.9</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6.0</w:t>
            </w:r>
          </w:p>
        </w:tc>
      </w:tr>
      <w:tr w:rsidR="009519D8" w:rsidTr="00B4221C">
        <w:trPr>
          <w:cantSplit/>
          <w:trHeight w:val="457"/>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工业增加值</w:t>
            </w:r>
          </w:p>
        </w:tc>
        <w:tc>
          <w:tcPr>
            <w:tcW w:w="1847"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6.2</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6.8</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6.1</w:t>
            </w:r>
          </w:p>
        </w:tc>
      </w:tr>
      <w:tr w:rsidR="009519D8" w:rsidTr="00B4221C">
        <w:trPr>
          <w:cantSplit/>
          <w:trHeight w:val="462"/>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固定资产投资</w:t>
            </w:r>
          </w:p>
        </w:tc>
        <w:tc>
          <w:tcPr>
            <w:tcW w:w="1847"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5.9</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7.5</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6</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5.6</w:t>
            </w:r>
          </w:p>
        </w:tc>
      </w:tr>
      <w:tr w:rsidR="009519D8" w:rsidTr="00B4221C">
        <w:trPr>
          <w:cantSplit/>
          <w:trHeight w:val="457"/>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消费品零售额</w:t>
            </w:r>
          </w:p>
        </w:tc>
        <w:tc>
          <w:tcPr>
            <w:tcW w:w="1847"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9</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9.8</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8.9</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8.8</w:t>
            </w:r>
          </w:p>
        </w:tc>
      </w:tr>
      <w:tr w:rsidR="009519D8" w:rsidTr="00B4221C">
        <w:trPr>
          <w:cantSplit/>
          <w:trHeight w:val="453"/>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出口</w:t>
            </w:r>
          </w:p>
        </w:tc>
        <w:tc>
          <w:tcPr>
            <w:tcW w:w="1847"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7.1</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7.4</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-1.0</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3.0</w:t>
            </w:r>
          </w:p>
        </w:tc>
      </w:tr>
      <w:tr w:rsidR="009519D8" w:rsidTr="00B4221C">
        <w:trPr>
          <w:cantSplit/>
          <w:trHeight w:val="459"/>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进口</w:t>
            </w:r>
          </w:p>
        </w:tc>
        <w:tc>
          <w:tcPr>
            <w:tcW w:w="1847"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12.9</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11.7</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10.0</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11.0</w:t>
            </w:r>
          </w:p>
        </w:tc>
      </w:tr>
      <w:tr w:rsidR="009519D8" w:rsidTr="00B4221C">
        <w:trPr>
          <w:cantSplit/>
          <w:trHeight w:val="388"/>
        </w:trPr>
        <w:tc>
          <w:tcPr>
            <w:tcW w:w="1877" w:type="dxa"/>
          </w:tcPr>
          <w:p w:rsidR="009519D8" w:rsidRDefault="009519D8" w:rsidP="00B4221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消费物价</w:t>
            </w:r>
          </w:p>
        </w:tc>
        <w:tc>
          <w:tcPr>
            <w:tcW w:w="1847" w:type="dxa"/>
            <w:vAlign w:val="center"/>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2.1</w:t>
            </w:r>
          </w:p>
        </w:tc>
        <w:tc>
          <w:tcPr>
            <w:tcW w:w="1860"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2.1</w:t>
            </w:r>
          </w:p>
        </w:tc>
        <w:tc>
          <w:tcPr>
            <w:tcW w:w="1812"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2.3</w:t>
            </w:r>
          </w:p>
        </w:tc>
        <w:tc>
          <w:tcPr>
            <w:tcW w:w="1896" w:type="dxa"/>
          </w:tcPr>
          <w:p w:rsidR="009519D8" w:rsidRDefault="009519D8" w:rsidP="00B4221C">
            <w:pPr>
              <w:spacing w:line="3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2.2</w:t>
            </w:r>
          </w:p>
        </w:tc>
      </w:tr>
    </w:tbl>
    <w:p w:rsidR="009519D8" w:rsidRDefault="009519D8" w:rsidP="009519D8">
      <w:pPr>
        <w:spacing w:line="460" w:lineRule="exact"/>
        <w:ind w:firstLineChars="200" w:firstLine="360"/>
        <w:rPr>
          <w:rFonts w:ascii="微软雅黑" w:eastAsia="微软雅黑" w:hAnsi="微软雅黑" w:cs="微软雅黑"/>
          <w:sz w:val="18"/>
          <w:szCs w:val="18"/>
        </w:rPr>
      </w:pPr>
      <w:r>
        <w:rPr>
          <w:rFonts w:ascii="微软雅黑" w:eastAsia="微软雅黑" w:hAnsi="微软雅黑" w:cs="微软雅黑" w:hint="eastAsia"/>
          <w:b/>
          <w:bCs/>
          <w:sz w:val="18"/>
          <w:szCs w:val="18"/>
        </w:rPr>
        <w:t>注：</w:t>
      </w:r>
      <w:r>
        <w:rPr>
          <w:rFonts w:ascii="微软雅黑" w:eastAsia="微软雅黑" w:hAnsi="微软雅黑" w:cs="微软雅黑" w:hint="eastAsia"/>
          <w:sz w:val="18"/>
          <w:szCs w:val="18"/>
        </w:rPr>
        <w:t>1. GDP和工业增加值增长速度按可比价格计算，其余指标按现价计算；</w:t>
      </w:r>
    </w:p>
    <w:p w:rsidR="009519D8" w:rsidRDefault="009519D8" w:rsidP="009519D8">
      <w:pPr>
        <w:spacing w:line="460" w:lineRule="exact"/>
        <w:ind w:firstLineChars="400" w:firstLine="720"/>
        <w:rPr>
          <w:rFonts w:ascii="微软雅黑" w:eastAsia="微软雅黑" w:hAnsi="微软雅黑" w:cs="微软雅黑"/>
          <w:sz w:val="18"/>
          <w:szCs w:val="18"/>
        </w:rPr>
      </w:pPr>
      <w:r>
        <w:rPr>
          <w:rFonts w:ascii="微软雅黑" w:eastAsia="微软雅黑" w:hAnsi="微软雅黑" w:cs="微软雅黑" w:hint="eastAsia"/>
          <w:b/>
          <w:bCs/>
          <w:sz w:val="18"/>
          <w:szCs w:val="18"/>
        </w:rPr>
        <w:t xml:space="preserve">2. </w:t>
      </w:r>
      <w:r>
        <w:rPr>
          <w:rFonts w:ascii="微软雅黑" w:eastAsia="微软雅黑" w:hAnsi="微软雅黑" w:cs="微软雅黑" w:hint="eastAsia"/>
          <w:sz w:val="18"/>
          <w:szCs w:val="18"/>
        </w:rPr>
        <w:t>固定资产投资指全社会固定资产投资；</w:t>
      </w:r>
    </w:p>
    <w:p w:rsidR="009519D8" w:rsidRDefault="009519D8" w:rsidP="009519D8">
      <w:pPr>
        <w:pStyle w:val="crw1"/>
        <w:ind w:firstLineChars="400" w:firstLine="720"/>
      </w:pPr>
      <w:r>
        <w:rPr>
          <w:rFonts w:hAnsi="微软雅黑" w:cs="微软雅黑" w:hint="eastAsia"/>
          <w:b/>
          <w:bCs/>
          <w:sz w:val="18"/>
          <w:szCs w:val="18"/>
        </w:rPr>
        <w:t xml:space="preserve">3. </w:t>
      </w:r>
      <w:r>
        <w:rPr>
          <w:rFonts w:hAnsi="微软雅黑" w:cs="微软雅黑" w:hint="eastAsia"/>
          <w:sz w:val="18"/>
          <w:szCs w:val="18"/>
        </w:rPr>
        <w:t>工业增加值为国有企业和产品销售收入在500万元以上的非国有企业的增加值。</w:t>
      </w:r>
    </w:p>
    <w:p w:rsidR="009519D8" w:rsidRDefault="009519D8" w:rsidP="009519D8">
      <w:pPr>
        <w:spacing w:line="100" w:lineRule="exact"/>
        <w:rPr>
          <w:rFonts w:ascii="微软雅黑" w:eastAsia="微软雅黑" w:hAnsi="微软雅黑" w:cs="微软雅黑"/>
          <w:szCs w:val="21"/>
        </w:rPr>
      </w:pPr>
    </w:p>
    <w:p w:rsidR="009519D8" w:rsidRDefault="009519D8" w:rsidP="009519D8">
      <w:pPr>
        <w:spacing w:line="340" w:lineRule="exact"/>
        <w:ind w:firstLine="570"/>
        <w:rPr>
          <w:rFonts w:ascii="微软雅黑" w:eastAsia="微软雅黑" w:hAnsi="微软雅黑" w:cs="微软雅黑"/>
          <w:sz w:val="18"/>
          <w:szCs w:val="18"/>
        </w:rPr>
      </w:pPr>
      <w:r>
        <w:rPr>
          <w:rFonts w:ascii="微软雅黑" w:eastAsia="微软雅黑" w:hAnsi="微软雅黑" w:cs="微软雅黑" w:hint="eastAsia"/>
          <w:szCs w:val="21"/>
        </w:rPr>
        <w:t xml:space="preserve">　　　　　　　　　　                      　         </w:t>
      </w:r>
      <w:r>
        <w:rPr>
          <w:rFonts w:ascii="微软雅黑" w:eastAsia="微软雅黑" w:hAnsi="微软雅黑" w:cs="微软雅黑" w:hint="eastAsia"/>
          <w:sz w:val="18"/>
          <w:szCs w:val="18"/>
        </w:rPr>
        <w:t>张曙光（中国社会科学院经济所）</w:t>
      </w:r>
    </w:p>
    <w:p w:rsidR="009519D8" w:rsidRDefault="009519D8" w:rsidP="009519D8">
      <w:pPr>
        <w:spacing w:line="340" w:lineRule="exact"/>
        <w:ind w:firstLine="57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张　</w:t>
      </w:r>
      <w:proofErr w:type="gramStart"/>
      <w:r>
        <w:rPr>
          <w:rFonts w:ascii="微软雅黑" w:eastAsia="微软雅黑" w:hAnsi="微软雅黑" w:cs="微软雅黑" w:hint="eastAsia"/>
          <w:sz w:val="18"/>
          <w:szCs w:val="18"/>
        </w:rPr>
        <w:t>弛</w:t>
      </w:r>
      <w:proofErr w:type="gramEnd"/>
      <w:r>
        <w:rPr>
          <w:rFonts w:ascii="微软雅黑" w:eastAsia="微软雅黑" w:hAnsi="微软雅黑" w:cs="微软雅黑" w:hint="eastAsia"/>
          <w:sz w:val="18"/>
          <w:szCs w:val="18"/>
        </w:rPr>
        <w:t>（中国政法大学商学院）</w:t>
      </w:r>
    </w:p>
    <w:p w:rsidR="009519D8" w:rsidRDefault="009519D8" w:rsidP="009519D8">
      <w:pPr>
        <w:spacing w:line="340" w:lineRule="exact"/>
        <w:ind w:firstLineChars="3400" w:firstLine="6120"/>
        <w:rPr>
          <w:rFonts w:ascii="微软雅黑" w:eastAsia="微软雅黑" w:hAnsi="微软雅黑" w:cs="微软雅黑"/>
          <w:sz w:val="18"/>
          <w:szCs w:val="18"/>
        </w:rPr>
      </w:pPr>
      <w:r>
        <w:rPr>
          <w:rFonts w:ascii="微软雅黑" w:eastAsia="微软雅黑" w:hAnsi="微软雅黑" w:cs="微软雅黑" w:hint="eastAsia"/>
          <w:sz w:val="18"/>
          <w:szCs w:val="18"/>
        </w:rPr>
        <w:t>2019－01－25，于北京</w:t>
      </w:r>
    </w:p>
    <w:p w:rsidR="00C45E68" w:rsidRDefault="00C45E68">
      <w:pPr>
        <w:wordWrap w:val="0"/>
        <w:spacing w:line="240" w:lineRule="exact"/>
        <w:jc w:val="right"/>
      </w:pPr>
    </w:p>
    <w:sectPr w:rsidR="00C45E68" w:rsidSect="00C45E68">
      <w:footerReference w:type="default" r:id="rId15"/>
      <w:footerReference w:type="first" r:id="rId16"/>
      <w:pgSz w:w="11906" w:h="16838"/>
      <w:pgMar w:top="964" w:right="1304" w:bottom="850" w:left="130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E9" w:rsidRDefault="002D6BE9" w:rsidP="00C45E68">
      <w:r>
        <w:separator/>
      </w:r>
    </w:p>
  </w:endnote>
  <w:endnote w:type="continuationSeparator" w:id="0">
    <w:p w:rsidR="002D6BE9" w:rsidRDefault="002D6BE9" w:rsidP="00C45E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74874"/>
    </w:sdtPr>
    <w:sdtContent>
      <w:p w:rsidR="00C45E68" w:rsidRDefault="00C45E68">
        <w:pPr>
          <w:pStyle w:val="a6"/>
          <w:jc w:val="center"/>
        </w:pPr>
        <w:r>
          <w:fldChar w:fldCharType="begin"/>
        </w:r>
        <w:r w:rsidR="002D6BE9">
          <w:instrText>PAGE   \* MERGEFORMAT</w:instrText>
        </w:r>
        <w:r>
          <w:fldChar w:fldCharType="separate"/>
        </w:r>
        <w:r w:rsidR="009519D8" w:rsidRPr="009519D8">
          <w:rPr>
            <w:noProof/>
            <w:lang w:val="zh-CN"/>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43221"/>
    </w:sdtPr>
    <w:sdtContent>
      <w:p w:rsidR="00C45E68" w:rsidRDefault="00C45E68">
        <w:pPr>
          <w:pStyle w:val="a6"/>
          <w:jc w:val="center"/>
        </w:pPr>
        <w:r>
          <w:fldChar w:fldCharType="begin"/>
        </w:r>
        <w:r w:rsidR="002D6BE9">
          <w:instrText>PAGE   \* MERGEFORMAT</w:instrText>
        </w:r>
        <w:r>
          <w:fldChar w:fldCharType="separate"/>
        </w:r>
        <w:r w:rsidR="009519D8" w:rsidRPr="009519D8">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E9" w:rsidRDefault="002D6BE9" w:rsidP="00C45E68">
      <w:r>
        <w:separator/>
      </w:r>
    </w:p>
  </w:footnote>
  <w:footnote w:type="continuationSeparator" w:id="0">
    <w:p w:rsidR="002D6BE9" w:rsidRDefault="002D6BE9" w:rsidP="00C4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5FD22A"/>
    <w:multiLevelType w:val="singleLevel"/>
    <w:tmpl w:val="AD5FD22A"/>
    <w:lvl w:ilvl="0">
      <w:start w:val="2"/>
      <w:numFmt w:val="decimal"/>
      <w:suff w:val="space"/>
      <w:lvlText w:val="%1."/>
      <w:lvlJc w:val="left"/>
    </w:lvl>
  </w:abstractNum>
  <w:abstractNum w:abstractNumId="1">
    <w:nsid w:val="EEE0ECCA"/>
    <w:multiLevelType w:val="singleLevel"/>
    <w:tmpl w:val="EEE0ECCA"/>
    <w:lvl w:ilvl="0">
      <w:start w:val="1"/>
      <w:numFmt w:val="decimal"/>
      <w:suff w:val="nothing"/>
      <w:lvlText w:val="%1．"/>
      <w:lvlJc w:val="left"/>
    </w:lvl>
  </w:abstractNum>
  <w:abstractNum w:abstractNumId="2">
    <w:nsid w:val="1C1AC857"/>
    <w:multiLevelType w:val="singleLevel"/>
    <w:tmpl w:val="1C1AC857"/>
    <w:lvl w:ilvl="0">
      <w:start w:val="1"/>
      <w:numFmt w:val="decimal"/>
      <w:suff w:val="nothing"/>
      <w:lvlText w:val="%1．"/>
      <w:lvlJc w:val="left"/>
    </w:lvl>
  </w:abstractNum>
  <w:abstractNum w:abstractNumId="3">
    <w:nsid w:val="3561261A"/>
    <w:multiLevelType w:val="singleLevel"/>
    <w:tmpl w:val="3561261A"/>
    <w:lvl w:ilvl="0">
      <w:start w:val="1"/>
      <w:numFmt w:val="decimal"/>
      <w:suff w:val="nothing"/>
      <w:lvlText w:val="%1．"/>
      <w:lvlJc w:val="left"/>
    </w:lvl>
  </w:abstractNum>
  <w:abstractNum w:abstractNumId="4">
    <w:nsid w:val="41F177F1"/>
    <w:multiLevelType w:val="multilevel"/>
    <w:tmpl w:val="41F177F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5CFF0119"/>
    <w:multiLevelType w:val="singleLevel"/>
    <w:tmpl w:val="5CFF0119"/>
    <w:lvl w:ilvl="0">
      <w:start w:val="3"/>
      <w:numFmt w:val="decimal"/>
      <w:suff w:val="space"/>
      <w:lvlText w:val="%1."/>
      <w:lvlJc w:val="left"/>
    </w:lvl>
  </w:abstractNum>
  <w:abstractNum w:abstractNumId="6">
    <w:nsid w:val="69AA90BE"/>
    <w:multiLevelType w:val="singleLevel"/>
    <w:tmpl w:val="69AA90BE"/>
    <w:lvl w:ilvl="0">
      <w:start w:val="2"/>
      <w:numFmt w:val="decimal"/>
      <w:suff w:val="space"/>
      <w:lvlText w:val="%1."/>
      <w:lvlJc w:val="left"/>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efaultTabStop w:val="420"/>
  <w:drawingGridHorizontalSpacing w:val="105"/>
  <w:drawingGridVerticalSpacing w:val="156"/>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239"/>
    <w:rsid w:val="00002FC5"/>
    <w:rsid w:val="00004394"/>
    <w:rsid w:val="0000694F"/>
    <w:rsid w:val="00010FD9"/>
    <w:rsid w:val="0001269F"/>
    <w:rsid w:val="00012881"/>
    <w:rsid w:val="00013054"/>
    <w:rsid w:val="00013BF9"/>
    <w:rsid w:val="00015F3F"/>
    <w:rsid w:val="00017EE2"/>
    <w:rsid w:val="0002084D"/>
    <w:rsid w:val="00021150"/>
    <w:rsid w:val="00022DD2"/>
    <w:rsid w:val="000262BB"/>
    <w:rsid w:val="00027988"/>
    <w:rsid w:val="000302A4"/>
    <w:rsid w:val="00030A09"/>
    <w:rsid w:val="00032454"/>
    <w:rsid w:val="00033A8A"/>
    <w:rsid w:val="00035479"/>
    <w:rsid w:val="000361D3"/>
    <w:rsid w:val="0004305A"/>
    <w:rsid w:val="000447F3"/>
    <w:rsid w:val="00045881"/>
    <w:rsid w:val="00045FCD"/>
    <w:rsid w:val="000460C3"/>
    <w:rsid w:val="00046451"/>
    <w:rsid w:val="00057B2E"/>
    <w:rsid w:val="00057ED9"/>
    <w:rsid w:val="00060B48"/>
    <w:rsid w:val="00062696"/>
    <w:rsid w:val="0006416D"/>
    <w:rsid w:val="00064C9D"/>
    <w:rsid w:val="00064D67"/>
    <w:rsid w:val="00065F83"/>
    <w:rsid w:val="00067D12"/>
    <w:rsid w:val="00072162"/>
    <w:rsid w:val="00072DEA"/>
    <w:rsid w:val="00072DF9"/>
    <w:rsid w:val="000733FF"/>
    <w:rsid w:val="0007352E"/>
    <w:rsid w:val="00073835"/>
    <w:rsid w:val="00073E56"/>
    <w:rsid w:val="00074518"/>
    <w:rsid w:val="00075113"/>
    <w:rsid w:val="00076740"/>
    <w:rsid w:val="00076C91"/>
    <w:rsid w:val="00082CC5"/>
    <w:rsid w:val="000831A6"/>
    <w:rsid w:val="000837D6"/>
    <w:rsid w:val="000851F8"/>
    <w:rsid w:val="00085B81"/>
    <w:rsid w:val="00086314"/>
    <w:rsid w:val="0008767C"/>
    <w:rsid w:val="000900A9"/>
    <w:rsid w:val="00091DAB"/>
    <w:rsid w:val="00092501"/>
    <w:rsid w:val="00093B44"/>
    <w:rsid w:val="000949B7"/>
    <w:rsid w:val="00097605"/>
    <w:rsid w:val="00097C8C"/>
    <w:rsid w:val="000A256F"/>
    <w:rsid w:val="000A3485"/>
    <w:rsid w:val="000A47B2"/>
    <w:rsid w:val="000A5532"/>
    <w:rsid w:val="000A5B90"/>
    <w:rsid w:val="000A6AEC"/>
    <w:rsid w:val="000A7698"/>
    <w:rsid w:val="000A791C"/>
    <w:rsid w:val="000B143D"/>
    <w:rsid w:val="000B3800"/>
    <w:rsid w:val="000B400D"/>
    <w:rsid w:val="000B527F"/>
    <w:rsid w:val="000C027F"/>
    <w:rsid w:val="000C5943"/>
    <w:rsid w:val="000C5B47"/>
    <w:rsid w:val="000C7CC5"/>
    <w:rsid w:val="000D34B9"/>
    <w:rsid w:val="000D5923"/>
    <w:rsid w:val="000D6DDC"/>
    <w:rsid w:val="000E0B9A"/>
    <w:rsid w:val="000E0BFC"/>
    <w:rsid w:val="000E1D67"/>
    <w:rsid w:val="000E2A6F"/>
    <w:rsid w:val="000F07CE"/>
    <w:rsid w:val="000F1926"/>
    <w:rsid w:val="000F2978"/>
    <w:rsid w:val="000F5C5F"/>
    <w:rsid w:val="000F6510"/>
    <w:rsid w:val="000F7B23"/>
    <w:rsid w:val="0010272D"/>
    <w:rsid w:val="00105B24"/>
    <w:rsid w:val="00114A6C"/>
    <w:rsid w:val="00114FD8"/>
    <w:rsid w:val="001152D0"/>
    <w:rsid w:val="00115A31"/>
    <w:rsid w:val="0011654C"/>
    <w:rsid w:val="001169B5"/>
    <w:rsid w:val="00120185"/>
    <w:rsid w:val="0012202F"/>
    <w:rsid w:val="00131965"/>
    <w:rsid w:val="0013292A"/>
    <w:rsid w:val="00134D6B"/>
    <w:rsid w:val="00135967"/>
    <w:rsid w:val="001367E8"/>
    <w:rsid w:val="00136E13"/>
    <w:rsid w:val="00146838"/>
    <w:rsid w:val="0014759E"/>
    <w:rsid w:val="0014782D"/>
    <w:rsid w:val="001506B3"/>
    <w:rsid w:val="0015259F"/>
    <w:rsid w:val="00153831"/>
    <w:rsid w:val="001566BF"/>
    <w:rsid w:val="001576E0"/>
    <w:rsid w:val="00160758"/>
    <w:rsid w:val="001611E2"/>
    <w:rsid w:val="0016249F"/>
    <w:rsid w:val="00166056"/>
    <w:rsid w:val="00171107"/>
    <w:rsid w:val="00172A27"/>
    <w:rsid w:val="00172E59"/>
    <w:rsid w:val="0017508A"/>
    <w:rsid w:val="00175484"/>
    <w:rsid w:val="0017550F"/>
    <w:rsid w:val="001775F3"/>
    <w:rsid w:val="001833A3"/>
    <w:rsid w:val="00183D41"/>
    <w:rsid w:val="0018527B"/>
    <w:rsid w:val="0019012B"/>
    <w:rsid w:val="001906E5"/>
    <w:rsid w:val="0019208F"/>
    <w:rsid w:val="0019272B"/>
    <w:rsid w:val="00192969"/>
    <w:rsid w:val="00196100"/>
    <w:rsid w:val="00196169"/>
    <w:rsid w:val="00196BEF"/>
    <w:rsid w:val="001A30AF"/>
    <w:rsid w:val="001A7BB8"/>
    <w:rsid w:val="001B00EE"/>
    <w:rsid w:val="001B5BBD"/>
    <w:rsid w:val="001C5434"/>
    <w:rsid w:val="001C6343"/>
    <w:rsid w:val="001D31FF"/>
    <w:rsid w:val="001D3BE8"/>
    <w:rsid w:val="001D592B"/>
    <w:rsid w:val="001D61E5"/>
    <w:rsid w:val="001D6416"/>
    <w:rsid w:val="001D703C"/>
    <w:rsid w:val="001D7769"/>
    <w:rsid w:val="001E08DD"/>
    <w:rsid w:val="001E0E02"/>
    <w:rsid w:val="001E0F61"/>
    <w:rsid w:val="001E2379"/>
    <w:rsid w:val="001E4691"/>
    <w:rsid w:val="001E7D1D"/>
    <w:rsid w:val="001F15DB"/>
    <w:rsid w:val="001F2584"/>
    <w:rsid w:val="001F28BF"/>
    <w:rsid w:val="001F37A6"/>
    <w:rsid w:val="002023C8"/>
    <w:rsid w:val="00204F1E"/>
    <w:rsid w:val="00206997"/>
    <w:rsid w:val="00206B9C"/>
    <w:rsid w:val="0021372C"/>
    <w:rsid w:val="00213CE9"/>
    <w:rsid w:val="00214D3D"/>
    <w:rsid w:val="00215AEF"/>
    <w:rsid w:val="0021628D"/>
    <w:rsid w:val="00221822"/>
    <w:rsid w:val="00222B44"/>
    <w:rsid w:val="00223188"/>
    <w:rsid w:val="00223EAA"/>
    <w:rsid w:val="002248A0"/>
    <w:rsid w:val="00224D1B"/>
    <w:rsid w:val="0022769B"/>
    <w:rsid w:val="002300C9"/>
    <w:rsid w:val="0023426C"/>
    <w:rsid w:val="002345AD"/>
    <w:rsid w:val="00235578"/>
    <w:rsid w:val="002377DA"/>
    <w:rsid w:val="0024113B"/>
    <w:rsid w:val="00242677"/>
    <w:rsid w:val="002458E9"/>
    <w:rsid w:val="00254D17"/>
    <w:rsid w:val="00260F36"/>
    <w:rsid w:val="00265920"/>
    <w:rsid w:val="00271009"/>
    <w:rsid w:val="00271042"/>
    <w:rsid w:val="00272F3F"/>
    <w:rsid w:val="00274D67"/>
    <w:rsid w:val="00276E9D"/>
    <w:rsid w:val="00282A54"/>
    <w:rsid w:val="00282CCD"/>
    <w:rsid w:val="00282F8E"/>
    <w:rsid w:val="002836F8"/>
    <w:rsid w:val="002840ED"/>
    <w:rsid w:val="00287759"/>
    <w:rsid w:val="00287F13"/>
    <w:rsid w:val="00291850"/>
    <w:rsid w:val="00292CDA"/>
    <w:rsid w:val="00295D0A"/>
    <w:rsid w:val="00297725"/>
    <w:rsid w:val="002A1F3A"/>
    <w:rsid w:val="002A5D45"/>
    <w:rsid w:val="002A724C"/>
    <w:rsid w:val="002A7310"/>
    <w:rsid w:val="002A7AEA"/>
    <w:rsid w:val="002B33A6"/>
    <w:rsid w:val="002B3EE3"/>
    <w:rsid w:val="002B579C"/>
    <w:rsid w:val="002B6345"/>
    <w:rsid w:val="002B7894"/>
    <w:rsid w:val="002C0F29"/>
    <w:rsid w:val="002C2772"/>
    <w:rsid w:val="002C2B7D"/>
    <w:rsid w:val="002C3E54"/>
    <w:rsid w:val="002C43B6"/>
    <w:rsid w:val="002C6C8A"/>
    <w:rsid w:val="002C753A"/>
    <w:rsid w:val="002C7A51"/>
    <w:rsid w:val="002D0C92"/>
    <w:rsid w:val="002D19A1"/>
    <w:rsid w:val="002D3DBE"/>
    <w:rsid w:val="002D42BC"/>
    <w:rsid w:val="002D4C23"/>
    <w:rsid w:val="002D6BE9"/>
    <w:rsid w:val="002D7751"/>
    <w:rsid w:val="002E07C4"/>
    <w:rsid w:val="002E24C6"/>
    <w:rsid w:val="002E398E"/>
    <w:rsid w:val="002E3F44"/>
    <w:rsid w:val="002E49A6"/>
    <w:rsid w:val="002E4BEE"/>
    <w:rsid w:val="002F09E1"/>
    <w:rsid w:val="002F0C7D"/>
    <w:rsid w:val="002F1D5D"/>
    <w:rsid w:val="002F21FA"/>
    <w:rsid w:val="002F2A27"/>
    <w:rsid w:val="003008C5"/>
    <w:rsid w:val="0030126C"/>
    <w:rsid w:val="003023E0"/>
    <w:rsid w:val="00302E06"/>
    <w:rsid w:val="00303996"/>
    <w:rsid w:val="00304A97"/>
    <w:rsid w:val="00304BF6"/>
    <w:rsid w:val="00304D10"/>
    <w:rsid w:val="003050E4"/>
    <w:rsid w:val="00305248"/>
    <w:rsid w:val="00306A66"/>
    <w:rsid w:val="00307058"/>
    <w:rsid w:val="00307C4D"/>
    <w:rsid w:val="00311853"/>
    <w:rsid w:val="003121EC"/>
    <w:rsid w:val="0031265A"/>
    <w:rsid w:val="003171E3"/>
    <w:rsid w:val="00317611"/>
    <w:rsid w:val="00317898"/>
    <w:rsid w:val="00326AA9"/>
    <w:rsid w:val="00327C36"/>
    <w:rsid w:val="00332A10"/>
    <w:rsid w:val="0033425B"/>
    <w:rsid w:val="00337202"/>
    <w:rsid w:val="0034009C"/>
    <w:rsid w:val="00340B62"/>
    <w:rsid w:val="00341304"/>
    <w:rsid w:val="00342A75"/>
    <w:rsid w:val="00343546"/>
    <w:rsid w:val="00343E2D"/>
    <w:rsid w:val="0034504C"/>
    <w:rsid w:val="003470BA"/>
    <w:rsid w:val="00352652"/>
    <w:rsid w:val="0035290B"/>
    <w:rsid w:val="003539FD"/>
    <w:rsid w:val="003567AC"/>
    <w:rsid w:val="00356F86"/>
    <w:rsid w:val="0035753F"/>
    <w:rsid w:val="00357CF6"/>
    <w:rsid w:val="0036040C"/>
    <w:rsid w:val="00361D69"/>
    <w:rsid w:val="00361E1A"/>
    <w:rsid w:val="00362AE7"/>
    <w:rsid w:val="00362EAD"/>
    <w:rsid w:val="0036393F"/>
    <w:rsid w:val="00364666"/>
    <w:rsid w:val="00366C7D"/>
    <w:rsid w:val="00372D86"/>
    <w:rsid w:val="00373319"/>
    <w:rsid w:val="00374685"/>
    <w:rsid w:val="0037491B"/>
    <w:rsid w:val="00384D27"/>
    <w:rsid w:val="003912BA"/>
    <w:rsid w:val="00392203"/>
    <w:rsid w:val="00392A12"/>
    <w:rsid w:val="0039547B"/>
    <w:rsid w:val="00397AEE"/>
    <w:rsid w:val="003A1965"/>
    <w:rsid w:val="003A4D2E"/>
    <w:rsid w:val="003A56F6"/>
    <w:rsid w:val="003A7104"/>
    <w:rsid w:val="003A77AD"/>
    <w:rsid w:val="003A77B5"/>
    <w:rsid w:val="003A7ECA"/>
    <w:rsid w:val="003B0F34"/>
    <w:rsid w:val="003B34C7"/>
    <w:rsid w:val="003B3ED6"/>
    <w:rsid w:val="003B4545"/>
    <w:rsid w:val="003B5F8E"/>
    <w:rsid w:val="003B6981"/>
    <w:rsid w:val="003B7AF4"/>
    <w:rsid w:val="003C1789"/>
    <w:rsid w:val="003C3229"/>
    <w:rsid w:val="003E06D2"/>
    <w:rsid w:val="003E113B"/>
    <w:rsid w:val="003E2230"/>
    <w:rsid w:val="003E37BE"/>
    <w:rsid w:val="003E7224"/>
    <w:rsid w:val="003F448B"/>
    <w:rsid w:val="003F4EE1"/>
    <w:rsid w:val="003F5F6E"/>
    <w:rsid w:val="0040346F"/>
    <w:rsid w:val="00407D3F"/>
    <w:rsid w:val="004117A9"/>
    <w:rsid w:val="0041229B"/>
    <w:rsid w:val="00413058"/>
    <w:rsid w:val="0041358B"/>
    <w:rsid w:val="00413C2E"/>
    <w:rsid w:val="0041605A"/>
    <w:rsid w:val="004168A4"/>
    <w:rsid w:val="004262BB"/>
    <w:rsid w:val="0042660A"/>
    <w:rsid w:val="00430370"/>
    <w:rsid w:val="00433617"/>
    <w:rsid w:val="00434138"/>
    <w:rsid w:val="00437EFA"/>
    <w:rsid w:val="004461FD"/>
    <w:rsid w:val="00451439"/>
    <w:rsid w:val="00453D75"/>
    <w:rsid w:val="00457F0B"/>
    <w:rsid w:val="00461866"/>
    <w:rsid w:val="00461B5F"/>
    <w:rsid w:val="004627F1"/>
    <w:rsid w:val="00463641"/>
    <w:rsid w:val="00463649"/>
    <w:rsid w:val="0046563C"/>
    <w:rsid w:val="00467D91"/>
    <w:rsid w:val="00467FF6"/>
    <w:rsid w:val="004714D9"/>
    <w:rsid w:val="00472254"/>
    <w:rsid w:val="004722CE"/>
    <w:rsid w:val="00472A84"/>
    <w:rsid w:val="0047421E"/>
    <w:rsid w:val="00477202"/>
    <w:rsid w:val="004779C6"/>
    <w:rsid w:val="00481836"/>
    <w:rsid w:val="00485AED"/>
    <w:rsid w:val="00485B7F"/>
    <w:rsid w:val="004870FC"/>
    <w:rsid w:val="00491884"/>
    <w:rsid w:val="00493481"/>
    <w:rsid w:val="00494382"/>
    <w:rsid w:val="0049615D"/>
    <w:rsid w:val="004973F8"/>
    <w:rsid w:val="004A31B9"/>
    <w:rsid w:val="004A3525"/>
    <w:rsid w:val="004A37F6"/>
    <w:rsid w:val="004A3C35"/>
    <w:rsid w:val="004A651F"/>
    <w:rsid w:val="004A659A"/>
    <w:rsid w:val="004A6E2F"/>
    <w:rsid w:val="004B1B22"/>
    <w:rsid w:val="004B201A"/>
    <w:rsid w:val="004B571A"/>
    <w:rsid w:val="004B5F93"/>
    <w:rsid w:val="004B6384"/>
    <w:rsid w:val="004B6549"/>
    <w:rsid w:val="004B6A06"/>
    <w:rsid w:val="004C1BC3"/>
    <w:rsid w:val="004C33DF"/>
    <w:rsid w:val="004C34FC"/>
    <w:rsid w:val="004C564F"/>
    <w:rsid w:val="004C5BB4"/>
    <w:rsid w:val="004C5BD7"/>
    <w:rsid w:val="004C692E"/>
    <w:rsid w:val="004C73B9"/>
    <w:rsid w:val="004D2839"/>
    <w:rsid w:val="004D2EA5"/>
    <w:rsid w:val="004D3368"/>
    <w:rsid w:val="004D4843"/>
    <w:rsid w:val="004D5782"/>
    <w:rsid w:val="004D5861"/>
    <w:rsid w:val="004D58E1"/>
    <w:rsid w:val="004D7FB8"/>
    <w:rsid w:val="004E1799"/>
    <w:rsid w:val="004E2D2E"/>
    <w:rsid w:val="004E6E75"/>
    <w:rsid w:val="004F0300"/>
    <w:rsid w:val="004F0A60"/>
    <w:rsid w:val="004F11F9"/>
    <w:rsid w:val="004F3635"/>
    <w:rsid w:val="004F5B45"/>
    <w:rsid w:val="004F622E"/>
    <w:rsid w:val="00500A77"/>
    <w:rsid w:val="00501367"/>
    <w:rsid w:val="0050226F"/>
    <w:rsid w:val="005026FA"/>
    <w:rsid w:val="00503917"/>
    <w:rsid w:val="0050525C"/>
    <w:rsid w:val="00505289"/>
    <w:rsid w:val="0050691A"/>
    <w:rsid w:val="00506E74"/>
    <w:rsid w:val="00507C36"/>
    <w:rsid w:val="00510269"/>
    <w:rsid w:val="00512E61"/>
    <w:rsid w:val="005138DA"/>
    <w:rsid w:val="0051457C"/>
    <w:rsid w:val="00514A45"/>
    <w:rsid w:val="00515796"/>
    <w:rsid w:val="00524295"/>
    <w:rsid w:val="00524B6C"/>
    <w:rsid w:val="00526EB5"/>
    <w:rsid w:val="0053000A"/>
    <w:rsid w:val="00532C5E"/>
    <w:rsid w:val="00534AAD"/>
    <w:rsid w:val="0054191B"/>
    <w:rsid w:val="00542FC7"/>
    <w:rsid w:val="00544D1C"/>
    <w:rsid w:val="005450D8"/>
    <w:rsid w:val="00546643"/>
    <w:rsid w:val="0055040C"/>
    <w:rsid w:val="005506C5"/>
    <w:rsid w:val="00550AA3"/>
    <w:rsid w:val="0055107C"/>
    <w:rsid w:val="00551A76"/>
    <w:rsid w:val="00553ABE"/>
    <w:rsid w:val="00553FF5"/>
    <w:rsid w:val="00555415"/>
    <w:rsid w:val="00556FDC"/>
    <w:rsid w:val="00557853"/>
    <w:rsid w:val="005607A3"/>
    <w:rsid w:val="005608F5"/>
    <w:rsid w:val="005612E5"/>
    <w:rsid w:val="00566CA1"/>
    <w:rsid w:val="005675A9"/>
    <w:rsid w:val="00567FDC"/>
    <w:rsid w:val="00570BCC"/>
    <w:rsid w:val="0057261D"/>
    <w:rsid w:val="005761B4"/>
    <w:rsid w:val="00580595"/>
    <w:rsid w:val="00584362"/>
    <w:rsid w:val="0058482C"/>
    <w:rsid w:val="00584AD4"/>
    <w:rsid w:val="00586C2C"/>
    <w:rsid w:val="00587C31"/>
    <w:rsid w:val="00591B8A"/>
    <w:rsid w:val="00591E76"/>
    <w:rsid w:val="00591E7E"/>
    <w:rsid w:val="00593927"/>
    <w:rsid w:val="00594CC2"/>
    <w:rsid w:val="00596284"/>
    <w:rsid w:val="005962B2"/>
    <w:rsid w:val="005969F5"/>
    <w:rsid w:val="005A0559"/>
    <w:rsid w:val="005A20B4"/>
    <w:rsid w:val="005A277E"/>
    <w:rsid w:val="005A2FCE"/>
    <w:rsid w:val="005A3323"/>
    <w:rsid w:val="005A3E9D"/>
    <w:rsid w:val="005A44FA"/>
    <w:rsid w:val="005A68C8"/>
    <w:rsid w:val="005A7A83"/>
    <w:rsid w:val="005B19F8"/>
    <w:rsid w:val="005B21A1"/>
    <w:rsid w:val="005B37E1"/>
    <w:rsid w:val="005B5E11"/>
    <w:rsid w:val="005B690A"/>
    <w:rsid w:val="005C08CE"/>
    <w:rsid w:val="005C0DCE"/>
    <w:rsid w:val="005C1508"/>
    <w:rsid w:val="005C4CE0"/>
    <w:rsid w:val="005D01D7"/>
    <w:rsid w:val="005D066A"/>
    <w:rsid w:val="005D141A"/>
    <w:rsid w:val="005D2F37"/>
    <w:rsid w:val="005D39DD"/>
    <w:rsid w:val="005E0AB1"/>
    <w:rsid w:val="005E107D"/>
    <w:rsid w:val="005E12A0"/>
    <w:rsid w:val="005E2283"/>
    <w:rsid w:val="005E2DB1"/>
    <w:rsid w:val="005E3106"/>
    <w:rsid w:val="005E31FF"/>
    <w:rsid w:val="005E4CC6"/>
    <w:rsid w:val="005E60B7"/>
    <w:rsid w:val="005E6D0B"/>
    <w:rsid w:val="005E7BE9"/>
    <w:rsid w:val="005E7E3B"/>
    <w:rsid w:val="005F005B"/>
    <w:rsid w:val="005F39F3"/>
    <w:rsid w:val="005F4AA0"/>
    <w:rsid w:val="005F67F5"/>
    <w:rsid w:val="005F71A2"/>
    <w:rsid w:val="005F7808"/>
    <w:rsid w:val="00604E69"/>
    <w:rsid w:val="006050A5"/>
    <w:rsid w:val="00605741"/>
    <w:rsid w:val="00607A16"/>
    <w:rsid w:val="00610A77"/>
    <w:rsid w:val="00610AC0"/>
    <w:rsid w:val="0061649F"/>
    <w:rsid w:val="00617D8C"/>
    <w:rsid w:val="00620727"/>
    <w:rsid w:val="00622CCD"/>
    <w:rsid w:val="006233E3"/>
    <w:rsid w:val="006268E5"/>
    <w:rsid w:val="00626B22"/>
    <w:rsid w:val="006338BF"/>
    <w:rsid w:val="006345C6"/>
    <w:rsid w:val="00634C49"/>
    <w:rsid w:val="00635911"/>
    <w:rsid w:val="00636DDC"/>
    <w:rsid w:val="00637904"/>
    <w:rsid w:val="00637DFC"/>
    <w:rsid w:val="00644EEA"/>
    <w:rsid w:val="006506F6"/>
    <w:rsid w:val="00651933"/>
    <w:rsid w:val="00652313"/>
    <w:rsid w:val="00652653"/>
    <w:rsid w:val="00653A5D"/>
    <w:rsid w:val="00654DEC"/>
    <w:rsid w:val="006556EE"/>
    <w:rsid w:val="00656EC8"/>
    <w:rsid w:val="0065716B"/>
    <w:rsid w:val="00657FF3"/>
    <w:rsid w:val="00663441"/>
    <w:rsid w:val="00665E63"/>
    <w:rsid w:val="00667FFD"/>
    <w:rsid w:val="006701E4"/>
    <w:rsid w:val="00670943"/>
    <w:rsid w:val="006712D8"/>
    <w:rsid w:val="00673325"/>
    <w:rsid w:val="006761DD"/>
    <w:rsid w:val="00676241"/>
    <w:rsid w:val="00677040"/>
    <w:rsid w:val="00677778"/>
    <w:rsid w:val="006802E3"/>
    <w:rsid w:val="00680D20"/>
    <w:rsid w:val="006814A1"/>
    <w:rsid w:val="0068209C"/>
    <w:rsid w:val="006822CB"/>
    <w:rsid w:val="00684816"/>
    <w:rsid w:val="0069094F"/>
    <w:rsid w:val="006919E7"/>
    <w:rsid w:val="00697230"/>
    <w:rsid w:val="0069756F"/>
    <w:rsid w:val="006A0D56"/>
    <w:rsid w:val="006A3C7B"/>
    <w:rsid w:val="006A491E"/>
    <w:rsid w:val="006A5F03"/>
    <w:rsid w:val="006A7DCE"/>
    <w:rsid w:val="006B5173"/>
    <w:rsid w:val="006B5E2F"/>
    <w:rsid w:val="006B7127"/>
    <w:rsid w:val="006B7541"/>
    <w:rsid w:val="006B7A4A"/>
    <w:rsid w:val="006C2F3A"/>
    <w:rsid w:val="006C2F59"/>
    <w:rsid w:val="006C473F"/>
    <w:rsid w:val="006C5004"/>
    <w:rsid w:val="006D065C"/>
    <w:rsid w:val="006D1955"/>
    <w:rsid w:val="006D1EC8"/>
    <w:rsid w:val="006D34B0"/>
    <w:rsid w:val="006D4714"/>
    <w:rsid w:val="006D4CD9"/>
    <w:rsid w:val="006D68A6"/>
    <w:rsid w:val="006D6907"/>
    <w:rsid w:val="006E022C"/>
    <w:rsid w:val="006E0830"/>
    <w:rsid w:val="006E1A3F"/>
    <w:rsid w:val="006E2C3E"/>
    <w:rsid w:val="006E2CFA"/>
    <w:rsid w:val="006E3457"/>
    <w:rsid w:val="006E661F"/>
    <w:rsid w:val="006F011C"/>
    <w:rsid w:val="006F08E1"/>
    <w:rsid w:val="006F2BA9"/>
    <w:rsid w:val="006F49CD"/>
    <w:rsid w:val="006F6AB6"/>
    <w:rsid w:val="00700AED"/>
    <w:rsid w:val="00701C4D"/>
    <w:rsid w:val="00702472"/>
    <w:rsid w:val="00704330"/>
    <w:rsid w:val="00707D94"/>
    <w:rsid w:val="007108A0"/>
    <w:rsid w:val="00710A11"/>
    <w:rsid w:val="007145E8"/>
    <w:rsid w:val="00714B0F"/>
    <w:rsid w:val="00715830"/>
    <w:rsid w:val="00716134"/>
    <w:rsid w:val="007161BB"/>
    <w:rsid w:val="00720CA9"/>
    <w:rsid w:val="007221BE"/>
    <w:rsid w:val="0072298A"/>
    <w:rsid w:val="00725C7F"/>
    <w:rsid w:val="00725E20"/>
    <w:rsid w:val="00730834"/>
    <w:rsid w:val="00732C3A"/>
    <w:rsid w:val="00740C0E"/>
    <w:rsid w:val="00741691"/>
    <w:rsid w:val="007421B5"/>
    <w:rsid w:val="00744E2E"/>
    <w:rsid w:val="00745EF9"/>
    <w:rsid w:val="00750913"/>
    <w:rsid w:val="00751181"/>
    <w:rsid w:val="007550BE"/>
    <w:rsid w:val="00755249"/>
    <w:rsid w:val="00755CB2"/>
    <w:rsid w:val="00760987"/>
    <w:rsid w:val="00762A3F"/>
    <w:rsid w:val="007638BF"/>
    <w:rsid w:val="00766207"/>
    <w:rsid w:val="00767563"/>
    <w:rsid w:val="00771A46"/>
    <w:rsid w:val="00771ACE"/>
    <w:rsid w:val="0077286F"/>
    <w:rsid w:val="0077663C"/>
    <w:rsid w:val="0078305D"/>
    <w:rsid w:val="00790EF5"/>
    <w:rsid w:val="00795726"/>
    <w:rsid w:val="00797505"/>
    <w:rsid w:val="00797731"/>
    <w:rsid w:val="007A0508"/>
    <w:rsid w:val="007A077F"/>
    <w:rsid w:val="007A113D"/>
    <w:rsid w:val="007A3EE8"/>
    <w:rsid w:val="007A5C8F"/>
    <w:rsid w:val="007A602A"/>
    <w:rsid w:val="007A6480"/>
    <w:rsid w:val="007A7690"/>
    <w:rsid w:val="007B2387"/>
    <w:rsid w:val="007B589F"/>
    <w:rsid w:val="007B5AF9"/>
    <w:rsid w:val="007B6312"/>
    <w:rsid w:val="007B640E"/>
    <w:rsid w:val="007B7D52"/>
    <w:rsid w:val="007C0040"/>
    <w:rsid w:val="007C1DCD"/>
    <w:rsid w:val="007C5543"/>
    <w:rsid w:val="007C5998"/>
    <w:rsid w:val="007C6761"/>
    <w:rsid w:val="007D0077"/>
    <w:rsid w:val="007D4135"/>
    <w:rsid w:val="007D4A42"/>
    <w:rsid w:val="007D4D96"/>
    <w:rsid w:val="007E3275"/>
    <w:rsid w:val="007E3FE0"/>
    <w:rsid w:val="007E43B8"/>
    <w:rsid w:val="007E5723"/>
    <w:rsid w:val="007F02CC"/>
    <w:rsid w:val="007F092E"/>
    <w:rsid w:val="007F1DF7"/>
    <w:rsid w:val="007F229D"/>
    <w:rsid w:val="007F37C3"/>
    <w:rsid w:val="007F48FA"/>
    <w:rsid w:val="007F689F"/>
    <w:rsid w:val="00800641"/>
    <w:rsid w:val="00800898"/>
    <w:rsid w:val="008026B5"/>
    <w:rsid w:val="00802A33"/>
    <w:rsid w:val="008055C9"/>
    <w:rsid w:val="0080563F"/>
    <w:rsid w:val="00810107"/>
    <w:rsid w:val="00810F9C"/>
    <w:rsid w:val="00811DB7"/>
    <w:rsid w:val="00812921"/>
    <w:rsid w:val="008150CC"/>
    <w:rsid w:val="00815201"/>
    <w:rsid w:val="008152C1"/>
    <w:rsid w:val="00816743"/>
    <w:rsid w:val="00817813"/>
    <w:rsid w:val="00817F1E"/>
    <w:rsid w:val="008239EE"/>
    <w:rsid w:val="00827B2B"/>
    <w:rsid w:val="00830F82"/>
    <w:rsid w:val="008336A5"/>
    <w:rsid w:val="00834041"/>
    <w:rsid w:val="008351D4"/>
    <w:rsid w:val="00836DDF"/>
    <w:rsid w:val="00837BB3"/>
    <w:rsid w:val="00840E60"/>
    <w:rsid w:val="00843E85"/>
    <w:rsid w:val="008448D2"/>
    <w:rsid w:val="00845BAA"/>
    <w:rsid w:val="00846778"/>
    <w:rsid w:val="00847458"/>
    <w:rsid w:val="008475FE"/>
    <w:rsid w:val="00850124"/>
    <w:rsid w:val="00850324"/>
    <w:rsid w:val="00850CF3"/>
    <w:rsid w:val="00851932"/>
    <w:rsid w:val="00851DB4"/>
    <w:rsid w:val="008552D6"/>
    <w:rsid w:val="0085540C"/>
    <w:rsid w:val="00855475"/>
    <w:rsid w:val="00856476"/>
    <w:rsid w:val="00865291"/>
    <w:rsid w:val="00865767"/>
    <w:rsid w:val="00866A9C"/>
    <w:rsid w:val="00867087"/>
    <w:rsid w:val="00867728"/>
    <w:rsid w:val="00870EA6"/>
    <w:rsid w:val="00871387"/>
    <w:rsid w:val="0087762B"/>
    <w:rsid w:val="00880310"/>
    <w:rsid w:val="0088232C"/>
    <w:rsid w:val="00884907"/>
    <w:rsid w:val="00885848"/>
    <w:rsid w:val="00887646"/>
    <w:rsid w:val="008905D0"/>
    <w:rsid w:val="00893A04"/>
    <w:rsid w:val="008A3F12"/>
    <w:rsid w:val="008A5662"/>
    <w:rsid w:val="008A6069"/>
    <w:rsid w:val="008B0131"/>
    <w:rsid w:val="008B189E"/>
    <w:rsid w:val="008B4A1E"/>
    <w:rsid w:val="008C0F0A"/>
    <w:rsid w:val="008C37C7"/>
    <w:rsid w:val="008C5763"/>
    <w:rsid w:val="008D0554"/>
    <w:rsid w:val="008D0636"/>
    <w:rsid w:val="008E024D"/>
    <w:rsid w:val="008E1050"/>
    <w:rsid w:val="008E3368"/>
    <w:rsid w:val="008E554D"/>
    <w:rsid w:val="008F0228"/>
    <w:rsid w:val="008F30A0"/>
    <w:rsid w:val="008F430E"/>
    <w:rsid w:val="008F6382"/>
    <w:rsid w:val="008F69DF"/>
    <w:rsid w:val="009012A0"/>
    <w:rsid w:val="00901D38"/>
    <w:rsid w:val="00901E0B"/>
    <w:rsid w:val="00901FD3"/>
    <w:rsid w:val="00905313"/>
    <w:rsid w:val="00905C8E"/>
    <w:rsid w:val="00907912"/>
    <w:rsid w:val="00911178"/>
    <w:rsid w:val="009168E8"/>
    <w:rsid w:val="009169BA"/>
    <w:rsid w:val="00917B30"/>
    <w:rsid w:val="009209C2"/>
    <w:rsid w:val="00921C4B"/>
    <w:rsid w:val="0092348D"/>
    <w:rsid w:val="00923D51"/>
    <w:rsid w:val="009249E2"/>
    <w:rsid w:val="00924DA2"/>
    <w:rsid w:val="00925C91"/>
    <w:rsid w:val="00926DE6"/>
    <w:rsid w:val="0092723D"/>
    <w:rsid w:val="00927BEC"/>
    <w:rsid w:val="00930143"/>
    <w:rsid w:val="00930AF4"/>
    <w:rsid w:val="00931ABC"/>
    <w:rsid w:val="00931E83"/>
    <w:rsid w:val="009339EA"/>
    <w:rsid w:val="00937B64"/>
    <w:rsid w:val="00940BBD"/>
    <w:rsid w:val="009428EA"/>
    <w:rsid w:val="009433C0"/>
    <w:rsid w:val="00943C99"/>
    <w:rsid w:val="00945A19"/>
    <w:rsid w:val="009519D8"/>
    <w:rsid w:val="009561DC"/>
    <w:rsid w:val="00956A78"/>
    <w:rsid w:val="00964D5C"/>
    <w:rsid w:val="00965325"/>
    <w:rsid w:val="0096585F"/>
    <w:rsid w:val="00967DF2"/>
    <w:rsid w:val="00971A19"/>
    <w:rsid w:val="009721E8"/>
    <w:rsid w:val="00975228"/>
    <w:rsid w:val="00975501"/>
    <w:rsid w:val="00976625"/>
    <w:rsid w:val="00976E16"/>
    <w:rsid w:val="00982B26"/>
    <w:rsid w:val="00982E3C"/>
    <w:rsid w:val="00983300"/>
    <w:rsid w:val="0098352F"/>
    <w:rsid w:val="00984745"/>
    <w:rsid w:val="00986B10"/>
    <w:rsid w:val="0099013C"/>
    <w:rsid w:val="0099169B"/>
    <w:rsid w:val="00991DFB"/>
    <w:rsid w:val="00992A99"/>
    <w:rsid w:val="009948D3"/>
    <w:rsid w:val="00995FEB"/>
    <w:rsid w:val="0099738D"/>
    <w:rsid w:val="009A038B"/>
    <w:rsid w:val="009A120A"/>
    <w:rsid w:val="009A13E7"/>
    <w:rsid w:val="009A18D9"/>
    <w:rsid w:val="009A295B"/>
    <w:rsid w:val="009A464A"/>
    <w:rsid w:val="009B01FF"/>
    <w:rsid w:val="009B5DF9"/>
    <w:rsid w:val="009B673D"/>
    <w:rsid w:val="009B6EA0"/>
    <w:rsid w:val="009B7EA3"/>
    <w:rsid w:val="009C02C8"/>
    <w:rsid w:val="009C334C"/>
    <w:rsid w:val="009C3373"/>
    <w:rsid w:val="009C5DB4"/>
    <w:rsid w:val="009D1086"/>
    <w:rsid w:val="009D1FA9"/>
    <w:rsid w:val="009D7BFE"/>
    <w:rsid w:val="009E12E5"/>
    <w:rsid w:val="009E2E83"/>
    <w:rsid w:val="009E52BA"/>
    <w:rsid w:val="009E6B22"/>
    <w:rsid w:val="009F10BE"/>
    <w:rsid w:val="009F110E"/>
    <w:rsid w:val="009F135A"/>
    <w:rsid w:val="009F311A"/>
    <w:rsid w:val="009F6155"/>
    <w:rsid w:val="009F657D"/>
    <w:rsid w:val="009F6CE8"/>
    <w:rsid w:val="009F70CF"/>
    <w:rsid w:val="00A00C26"/>
    <w:rsid w:val="00A0131F"/>
    <w:rsid w:val="00A014FE"/>
    <w:rsid w:val="00A0152F"/>
    <w:rsid w:val="00A01955"/>
    <w:rsid w:val="00A01D15"/>
    <w:rsid w:val="00A0235C"/>
    <w:rsid w:val="00A02ADC"/>
    <w:rsid w:val="00A03676"/>
    <w:rsid w:val="00A03D74"/>
    <w:rsid w:val="00A0536B"/>
    <w:rsid w:val="00A06520"/>
    <w:rsid w:val="00A1443D"/>
    <w:rsid w:val="00A16CD1"/>
    <w:rsid w:val="00A1709C"/>
    <w:rsid w:val="00A21A63"/>
    <w:rsid w:val="00A2257E"/>
    <w:rsid w:val="00A22B9F"/>
    <w:rsid w:val="00A2316D"/>
    <w:rsid w:val="00A23680"/>
    <w:rsid w:val="00A25165"/>
    <w:rsid w:val="00A300F1"/>
    <w:rsid w:val="00A3235D"/>
    <w:rsid w:val="00A425CE"/>
    <w:rsid w:val="00A44344"/>
    <w:rsid w:val="00A4479E"/>
    <w:rsid w:val="00A44844"/>
    <w:rsid w:val="00A457E1"/>
    <w:rsid w:val="00A463B1"/>
    <w:rsid w:val="00A46412"/>
    <w:rsid w:val="00A46B67"/>
    <w:rsid w:val="00A521A1"/>
    <w:rsid w:val="00A530F7"/>
    <w:rsid w:val="00A53E57"/>
    <w:rsid w:val="00A5469E"/>
    <w:rsid w:val="00A54986"/>
    <w:rsid w:val="00A615C9"/>
    <w:rsid w:val="00A6217F"/>
    <w:rsid w:val="00A6262D"/>
    <w:rsid w:val="00A64316"/>
    <w:rsid w:val="00A65DAF"/>
    <w:rsid w:val="00A67178"/>
    <w:rsid w:val="00A722B2"/>
    <w:rsid w:val="00A81D56"/>
    <w:rsid w:val="00A83484"/>
    <w:rsid w:val="00A848FB"/>
    <w:rsid w:val="00A86F92"/>
    <w:rsid w:val="00A872B3"/>
    <w:rsid w:val="00A929D1"/>
    <w:rsid w:val="00A934E8"/>
    <w:rsid w:val="00A94EB0"/>
    <w:rsid w:val="00A97464"/>
    <w:rsid w:val="00A97613"/>
    <w:rsid w:val="00A979A9"/>
    <w:rsid w:val="00AA3B36"/>
    <w:rsid w:val="00AA67DF"/>
    <w:rsid w:val="00AA69E1"/>
    <w:rsid w:val="00AB2C9F"/>
    <w:rsid w:val="00AB404D"/>
    <w:rsid w:val="00AB4501"/>
    <w:rsid w:val="00AB72C7"/>
    <w:rsid w:val="00AC256B"/>
    <w:rsid w:val="00AC7E14"/>
    <w:rsid w:val="00AD37FB"/>
    <w:rsid w:val="00AD4318"/>
    <w:rsid w:val="00AD623C"/>
    <w:rsid w:val="00AE1B2F"/>
    <w:rsid w:val="00AE1E95"/>
    <w:rsid w:val="00AE7BB0"/>
    <w:rsid w:val="00AE7F9A"/>
    <w:rsid w:val="00AF0FCD"/>
    <w:rsid w:val="00AF2897"/>
    <w:rsid w:val="00AF3A4A"/>
    <w:rsid w:val="00AF3E51"/>
    <w:rsid w:val="00AF68A8"/>
    <w:rsid w:val="00AF767B"/>
    <w:rsid w:val="00B03A5C"/>
    <w:rsid w:val="00B0608B"/>
    <w:rsid w:val="00B11FC6"/>
    <w:rsid w:val="00B13C41"/>
    <w:rsid w:val="00B14DAA"/>
    <w:rsid w:val="00B15230"/>
    <w:rsid w:val="00B153BB"/>
    <w:rsid w:val="00B1558D"/>
    <w:rsid w:val="00B173CE"/>
    <w:rsid w:val="00B17627"/>
    <w:rsid w:val="00B17778"/>
    <w:rsid w:val="00B20FAC"/>
    <w:rsid w:val="00B2253F"/>
    <w:rsid w:val="00B22E03"/>
    <w:rsid w:val="00B23ADB"/>
    <w:rsid w:val="00B24D51"/>
    <w:rsid w:val="00B2524E"/>
    <w:rsid w:val="00B30353"/>
    <w:rsid w:val="00B31673"/>
    <w:rsid w:val="00B31F29"/>
    <w:rsid w:val="00B433AF"/>
    <w:rsid w:val="00B4364B"/>
    <w:rsid w:val="00B4373C"/>
    <w:rsid w:val="00B5105A"/>
    <w:rsid w:val="00B52789"/>
    <w:rsid w:val="00B5676B"/>
    <w:rsid w:val="00B6050E"/>
    <w:rsid w:val="00B64E31"/>
    <w:rsid w:val="00B66792"/>
    <w:rsid w:val="00B6702B"/>
    <w:rsid w:val="00B67DF6"/>
    <w:rsid w:val="00B712D0"/>
    <w:rsid w:val="00B73697"/>
    <w:rsid w:val="00B73F44"/>
    <w:rsid w:val="00B74132"/>
    <w:rsid w:val="00B8008B"/>
    <w:rsid w:val="00B807A5"/>
    <w:rsid w:val="00B82D5D"/>
    <w:rsid w:val="00B86372"/>
    <w:rsid w:val="00B867BB"/>
    <w:rsid w:val="00B90EE8"/>
    <w:rsid w:val="00B91A2F"/>
    <w:rsid w:val="00B96DC8"/>
    <w:rsid w:val="00BA14DB"/>
    <w:rsid w:val="00BA1EF5"/>
    <w:rsid w:val="00BA323A"/>
    <w:rsid w:val="00BA4451"/>
    <w:rsid w:val="00BA483B"/>
    <w:rsid w:val="00BA6199"/>
    <w:rsid w:val="00BB0AD6"/>
    <w:rsid w:val="00BB19EC"/>
    <w:rsid w:val="00BB2A01"/>
    <w:rsid w:val="00BB6B7C"/>
    <w:rsid w:val="00BB6F16"/>
    <w:rsid w:val="00BB6F8A"/>
    <w:rsid w:val="00BB76C8"/>
    <w:rsid w:val="00BB773A"/>
    <w:rsid w:val="00BC0479"/>
    <w:rsid w:val="00BC0743"/>
    <w:rsid w:val="00BC18EA"/>
    <w:rsid w:val="00BC3189"/>
    <w:rsid w:val="00BC4090"/>
    <w:rsid w:val="00BC7ECB"/>
    <w:rsid w:val="00BD1BC7"/>
    <w:rsid w:val="00BD2E00"/>
    <w:rsid w:val="00BD4CC5"/>
    <w:rsid w:val="00BE0442"/>
    <w:rsid w:val="00BE1610"/>
    <w:rsid w:val="00BE2DEE"/>
    <w:rsid w:val="00BE361B"/>
    <w:rsid w:val="00BF0717"/>
    <w:rsid w:val="00BF153E"/>
    <w:rsid w:val="00BF17B6"/>
    <w:rsid w:val="00BF1A1A"/>
    <w:rsid w:val="00BF6313"/>
    <w:rsid w:val="00C02E86"/>
    <w:rsid w:val="00C03590"/>
    <w:rsid w:val="00C051F3"/>
    <w:rsid w:val="00C109AD"/>
    <w:rsid w:val="00C1241B"/>
    <w:rsid w:val="00C14311"/>
    <w:rsid w:val="00C14675"/>
    <w:rsid w:val="00C1511F"/>
    <w:rsid w:val="00C1650E"/>
    <w:rsid w:val="00C165F1"/>
    <w:rsid w:val="00C17F8F"/>
    <w:rsid w:val="00C2138F"/>
    <w:rsid w:val="00C22C61"/>
    <w:rsid w:val="00C22E39"/>
    <w:rsid w:val="00C24DC5"/>
    <w:rsid w:val="00C26478"/>
    <w:rsid w:val="00C27065"/>
    <w:rsid w:val="00C315D6"/>
    <w:rsid w:val="00C320A8"/>
    <w:rsid w:val="00C324DD"/>
    <w:rsid w:val="00C32755"/>
    <w:rsid w:val="00C332EE"/>
    <w:rsid w:val="00C34258"/>
    <w:rsid w:val="00C41BCF"/>
    <w:rsid w:val="00C41C94"/>
    <w:rsid w:val="00C42AEA"/>
    <w:rsid w:val="00C43E00"/>
    <w:rsid w:val="00C440BF"/>
    <w:rsid w:val="00C45E68"/>
    <w:rsid w:val="00C47075"/>
    <w:rsid w:val="00C47E8A"/>
    <w:rsid w:val="00C50216"/>
    <w:rsid w:val="00C508B9"/>
    <w:rsid w:val="00C51145"/>
    <w:rsid w:val="00C62139"/>
    <w:rsid w:val="00C6274D"/>
    <w:rsid w:val="00C630BE"/>
    <w:rsid w:val="00C666D3"/>
    <w:rsid w:val="00C67767"/>
    <w:rsid w:val="00C707CE"/>
    <w:rsid w:val="00C738F9"/>
    <w:rsid w:val="00C75C18"/>
    <w:rsid w:val="00C767B1"/>
    <w:rsid w:val="00C76E57"/>
    <w:rsid w:val="00C82CAA"/>
    <w:rsid w:val="00C8656E"/>
    <w:rsid w:val="00C875A1"/>
    <w:rsid w:val="00C91A00"/>
    <w:rsid w:val="00C95809"/>
    <w:rsid w:val="00C9716A"/>
    <w:rsid w:val="00C9719D"/>
    <w:rsid w:val="00CA02BA"/>
    <w:rsid w:val="00CA10F0"/>
    <w:rsid w:val="00CA74FB"/>
    <w:rsid w:val="00CB26B2"/>
    <w:rsid w:val="00CB289F"/>
    <w:rsid w:val="00CB5EC9"/>
    <w:rsid w:val="00CB6386"/>
    <w:rsid w:val="00CB6A54"/>
    <w:rsid w:val="00CB6BA0"/>
    <w:rsid w:val="00CC1670"/>
    <w:rsid w:val="00CC3C05"/>
    <w:rsid w:val="00CC74FE"/>
    <w:rsid w:val="00CC792F"/>
    <w:rsid w:val="00CD19DF"/>
    <w:rsid w:val="00CD2E36"/>
    <w:rsid w:val="00CD4CD6"/>
    <w:rsid w:val="00CD5035"/>
    <w:rsid w:val="00CD5A77"/>
    <w:rsid w:val="00CD6629"/>
    <w:rsid w:val="00CE33FD"/>
    <w:rsid w:val="00CE4A12"/>
    <w:rsid w:val="00CE4CA3"/>
    <w:rsid w:val="00CE551E"/>
    <w:rsid w:val="00CE5C9A"/>
    <w:rsid w:val="00CE5F6D"/>
    <w:rsid w:val="00CE6205"/>
    <w:rsid w:val="00CF09BB"/>
    <w:rsid w:val="00CF1E03"/>
    <w:rsid w:val="00CF7276"/>
    <w:rsid w:val="00D0168D"/>
    <w:rsid w:val="00D04EFE"/>
    <w:rsid w:val="00D06CBD"/>
    <w:rsid w:val="00D06FFF"/>
    <w:rsid w:val="00D11AC3"/>
    <w:rsid w:val="00D15E31"/>
    <w:rsid w:val="00D23EB7"/>
    <w:rsid w:val="00D27108"/>
    <w:rsid w:val="00D27E16"/>
    <w:rsid w:val="00D30CAC"/>
    <w:rsid w:val="00D321E0"/>
    <w:rsid w:val="00D32456"/>
    <w:rsid w:val="00D33B5C"/>
    <w:rsid w:val="00D35F45"/>
    <w:rsid w:val="00D421E3"/>
    <w:rsid w:val="00D5005B"/>
    <w:rsid w:val="00D5037E"/>
    <w:rsid w:val="00D51D18"/>
    <w:rsid w:val="00D56405"/>
    <w:rsid w:val="00D5694C"/>
    <w:rsid w:val="00D60584"/>
    <w:rsid w:val="00D62762"/>
    <w:rsid w:val="00D6379B"/>
    <w:rsid w:val="00D644EC"/>
    <w:rsid w:val="00D662D7"/>
    <w:rsid w:val="00D67256"/>
    <w:rsid w:val="00D67261"/>
    <w:rsid w:val="00D74227"/>
    <w:rsid w:val="00D74284"/>
    <w:rsid w:val="00D77659"/>
    <w:rsid w:val="00D80300"/>
    <w:rsid w:val="00D8111E"/>
    <w:rsid w:val="00D81526"/>
    <w:rsid w:val="00D81CBF"/>
    <w:rsid w:val="00D8243B"/>
    <w:rsid w:val="00D83805"/>
    <w:rsid w:val="00D84A6A"/>
    <w:rsid w:val="00D854F8"/>
    <w:rsid w:val="00D93DAE"/>
    <w:rsid w:val="00D96C0B"/>
    <w:rsid w:val="00D9785B"/>
    <w:rsid w:val="00DA0BB0"/>
    <w:rsid w:val="00DA0CEE"/>
    <w:rsid w:val="00DA10F0"/>
    <w:rsid w:val="00DA1234"/>
    <w:rsid w:val="00DA254E"/>
    <w:rsid w:val="00DA2C47"/>
    <w:rsid w:val="00DA2E92"/>
    <w:rsid w:val="00DA45B4"/>
    <w:rsid w:val="00DA48ED"/>
    <w:rsid w:val="00DA5A1C"/>
    <w:rsid w:val="00DB3DD4"/>
    <w:rsid w:val="00DB4CA7"/>
    <w:rsid w:val="00DB54AB"/>
    <w:rsid w:val="00DC3D8C"/>
    <w:rsid w:val="00DC7628"/>
    <w:rsid w:val="00DD0A86"/>
    <w:rsid w:val="00DD3A5E"/>
    <w:rsid w:val="00DD3FCD"/>
    <w:rsid w:val="00DD5932"/>
    <w:rsid w:val="00DD6CF9"/>
    <w:rsid w:val="00DE0079"/>
    <w:rsid w:val="00DE196E"/>
    <w:rsid w:val="00DE36CA"/>
    <w:rsid w:val="00DE3BFC"/>
    <w:rsid w:val="00DE7E8F"/>
    <w:rsid w:val="00DE7FF1"/>
    <w:rsid w:val="00DF0AB5"/>
    <w:rsid w:val="00DF0B7F"/>
    <w:rsid w:val="00DF1716"/>
    <w:rsid w:val="00DF1758"/>
    <w:rsid w:val="00DF3DE4"/>
    <w:rsid w:val="00E004DA"/>
    <w:rsid w:val="00E00572"/>
    <w:rsid w:val="00E01424"/>
    <w:rsid w:val="00E01ECF"/>
    <w:rsid w:val="00E02065"/>
    <w:rsid w:val="00E05DB8"/>
    <w:rsid w:val="00E05F0F"/>
    <w:rsid w:val="00E06E51"/>
    <w:rsid w:val="00E06F71"/>
    <w:rsid w:val="00E119D6"/>
    <w:rsid w:val="00E1242F"/>
    <w:rsid w:val="00E138B7"/>
    <w:rsid w:val="00E1394F"/>
    <w:rsid w:val="00E142A1"/>
    <w:rsid w:val="00E147E4"/>
    <w:rsid w:val="00E15492"/>
    <w:rsid w:val="00E15F2E"/>
    <w:rsid w:val="00E162BC"/>
    <w:rsid w:val="00E17C9C"/>
    <w:rsid w:val="00E2213B"/>
    <w:rsid w:val="00E22AE5"/>
    <w:rsid w:val="00E22BEA"/>
    <w:rsid w:val="00E25B55"/>
    <w:rsid w:val="00E26A3E"/>
    <w:rsid w:val="00E26DA4"/>
    <w:rsid w:val="00E2792D"/>
    <w:rsid w:val="00E332FF"/>
    <w:rsid w:val="00E45E6F"/>
    <w:rsid w:val="00E5020F"/>
    <w:rsid w:val="00E508DF"/>
    <w:rsid w:val="00E529CF"/>
    <w:rsid w:val="00E538E6"/>
    <w:rsid w:val="00E63F79"/>
    <w:rsid w:val="00E64AA1"/>
    <w:rsid w:val="00E66BE5"/>
    <w:rsid w:val="00E715A8"/>
    <w:rsid w:val="00E719F5"/>
    <w:rsid w:val="00E74D33"/>
    <w:rsid w:val="00E760C7"/>
    <w:rsid w:val="00E82F12"/>
    <w:rsid w:val="00E82F9D"/>
    <w:rsid w:val="00E86E46"/>
    <w:rsid w:val="00E926FD"/>
    <w:rsid w:val="00E96A4C"/>
    <w:rsid w:val="00E970BD"/>
    <w:rsid w:val="00EA0532"/>
    <w:rsid w:val="00EA08C2"/>
    <w:rsid w:val="00EA0C10"/>
    <w:rsid w:val="00EA3EBB"/>
    <w:rsid w:val="00EA5674"/>
    <w:rsid w:val="00EA68B7"/>
    <w:rsid w:val="00EA698E"/>
    <w:rsid w:val="00EA6F54"/>
    <w:rsid w:val="00EB18D5"/>
    <w:rsid w:val="00EB3862"/>
    <w:rsid w:val="00EB653E"/>
    <w:rsid w:val="00EB772C"/>
    <w:rsid w:val="00EC08AB"/>
    <w:rsid w:val="00EC1B1F"/>
    <w:rsid w:val="00EC2C48"/>
    <w:rsid w:val="00EC3AFF"/>
    <w:rsid w:val="00EC49E6"/>
    <w:rsid w:val="00EC5143"/>
    <w:rsid w:val="00EC5FC6"/>
    <w:rsid w:val="00EC7C76"/>
    <w:rsid w:val="00ED0B2B"/>
    <w:rsid w:val="00ED0B61"/>
    <w:rsid w:val="00ED20B4"/>
    <w:rsid w:val="00ED3D54"/>
    <w:rsid w:val="00ED5BD0"/>
    <w:rsid w:val="00ED5CFF"/>
    <w:rsid w:val="00ED5E7A"/>
    <w:rsid w:val="00ED6C80"/>
    <w:rsid w:val="00ED71B0"/>
    <w:rsid w:val="00ED79F8"/>
    <w:rsid w:val="00EE174F"/>
    <w:rsid w:val="00EE2151"/>
    <w:rsid w:val="00EE28FC"/>
    <w:rsid w:val="00EE64F3"/>
    <w:rsid w:val="00EE6A1A"/>
    <w:rsid w:val="00EE750F"/>
    <w:rsid w:val="00EF1482"/>
    <w:rsid w:val="00EF25AC"/>
    <w:rsid w:val="00EF263E"/>
    <w:rsid w:val="00EF4D5B"/>
    <w:rsid w:val="00EF5B0C"/>
    <w:rsid w:val="00F00DC4"/>
    <w:rsid w:val="00F01DF9"/>
    <w:rsid w:val="00F02F07"/>
    <w:rsid w:val="00F056DC"/>
    <w:rsid w:val="00F11F91"/>
    <w:rsid w:val="00F1304C"/>
    <w:rsid w:val="00F1439E"/>
    <w:rsid w:val="00F14875"/>
    <w:rsid w:val="00F23772"/>
    <w:rsid w:val="00F23C58"/>
    <w:rsid w:val="00F25AE3"/>
    <w:rsid w:val="00F2795B"/>
    <w:rsid w:val="00F33C48"/>
    <w:rsid w:val="00F356F0"/>
    <w:rsid w:val="00F367B1"/>
    <w:rsid w:val="00F36F47"/>
    <w:rsid w:val="00F37561"/>
    <w:rsid w:val="00F42F36"/>
    <w:rsid w:val="00F43758"/>
    <w:rsid w:val="00F4588D"/>
    <w:rsid w:val="00F47FF1"/>
    <w:rsid w:val="00F5035C"/>
    <w:rsid w:val="00F50B7C"/>
    <w:rsid w:val="00F50F97"/>
    <w:rsid w:val="00F51027"/>
    <w:rsid w:val="00F51817"/>
    <w:rsid w:val="00F531C4"/>
    <w:rsid w:val="00F533B4"/>
    <w:rsid w:val="00F53D01"/>
    <w:rsid w:val="00F545F8"/>
    <w:rsid w:val="00F5494B"/>
    <w:rsid w:val="00F55897"/>
    <w:rsid w:val="00F55F7B"/>
    <w:rsid w:val="00F561F5"/>
    <w:rsid w:val="00F57BF2"/>
    <w:rsid w:val="00F62395"/>
    <w:rsid w:val="00F623D6"/>
    <w:rsid w:val="00F62586"/>
    <w:rsid w:val="00F718B1"/>
    <w:rsid w:val="00F71BEF"/>
    <w:rsid w:val="00F775F1"/>
    <w:rsid w:val="00F77958"/>
    <w:rsid w:val="00F8095A"/>
    <w:rsid w:val="00F8343C"/>
    <w:rsid w:val="00F83EA4"/>
    <w:rsid w:val="00F8591A"/>
    <w:rsid w:val="00F86538"/>
    <w:rsid w:val="00F94D06"/>
    <w:rsid w:val="00F94F04"/>
    <w:rsid w:val="00F9519B"/>
    <w:rsid w:val="00F952C2"/>
    <w:rsid w:val="00F971AA"/>
    <w:rsid w:val="00FA087F"/>
    <w:rsid w:val="00FA1C95"/>
    <w:rsid w:val="00FA6DF1"/>
    <w:rsid w:val="00FB0949"/>
    <w:rsid w:val="00FB1148"/>
    <w:rsid w:val="00FB69B8"/>
    <w:rsid w:val="00FB7CB5"/>
    <w:rsid w:val="00FC7D42"/>
    <w:rsid w:val="00FD0B0C"/>
    <w:rsid w:val="00FD1C85"/>
    <w:rsid w:val="00FD2FF9"/>
    <w:rsid w:val="00FD3183"/>
    <w:rsid w:val="00FD412E"/>
    <w:rsid w:val="00FD58BD"/>
    <w:rsid w:val="00FD639A"/>
    <w:rsid w:val="00FD65F4"/>
    <w:rsid w:val="00FD70B2"/>
    <w:rsid w:val="00FD7FC7"/>
    <w:rsid w:val="00FE3020"/>
    <w:rsid w:val="00FE380E"/>
    <w:rsid w:val="00FE474D"/>
    <w:rsid w:val="00FE4C25"/>
    <w:rsid w:val="00FE4D19"/>
    <w:rsid w:val="00FE6309"/>
    <w:rsid w:val="00FE7CCF"/>
    <w:rsid w:val="00FF3DEA"/>
    <w:rsid w:val="01AE6D90"/>
    <w:rsid w:val="01BD2C8C"/>
    <w:rsid w:val="025202F4"/>
    <w:rsid w:val="02645B64"/>
    <w:rsid w:val="03666A32"/>
    <w:rsid w:val="048A4459"/>
    <w:rsid w:val="048A6AF9"/>
    <w:rsid w:val="04D7184E"/>
    <w:rsid w:val="054C135F"/>
    <w:rsid w:val="05931BB1"/>
    <w:rsid w:val="05A1149B"/>
    <w:rsid w:val="05EF7684"/>
    <w:rsid w:val="060A3054"/>
    <w:rsid w:val="07057895"/>
    <w:rsid w:val="076563B8"/>
    <w:rsid w:val="07914971"/>
    <w:rsid w:val="087B75DA"/>
    <w:rsid w:val="088014E3"/>
    <w:rsid w:val="09771898"/>
    <w:rsid w:val="09AA31FE"/>
    <w:rsid w:val="09BB5CF7"/>
    <w:rsid w:val="0A420E06"/>
    <w:rsid w:val="0A78387A"/>
    <w:rsid w:val="0AFB3FE2"/>
    <w:rsid w:val="0B71015C"/>
    <w:rsid w:val="0B737B2D"/>
    <w:rsid w:val="0BF54D3B"/>
    <w:rsid w:val="0BFF58F9"/>
    <w:rsid w:val="0C0B0E5D"/>
    <w:rsid w:val="0C287647"/>
    <w:rsid w:val="0C757125"/>
    <w:rsid w:val="0C9F6891"/>
    <w:rsid w:val="0CB14567"/>
    <w:rsid w:val="0CE911F7"/>
    <w:rsid w:val="0D1863C6"/>
    <w:rsid w:val="0D1E12CB"/>
    <w:rsid w:val="0E5E336F"/>
    <w:rsid w:val="0F802CDE"/>
    <w:rsid w:val="0F975F9B"/>
    <w:rsid w:val="0FDE12D1"/>
    <w:rsid w:val="10014494"/>
    <w:rsid w:val="10AE6987"/>
    <w:rsid w:val="10DA2640"/>
    <w:rsid w:val="11424FFF"/>
    <w:rsid w:val="114E63CC"/>
    <w:rsid w:val="11AF3A10"/>
    <w:rsid w:val="11F765B6"/>
    <w:rsid w:val="121C232F"/>
    <w:rsid w:val="124F3ED1"/>
    <w:rsid w:val="12607288"/>
    <w:rsid w:val="128F30C1"/>
    <w:rsid w:val="12F63E2E"/>
    <w:rsid w:val="137F1949"/>
    <w:rsid w:val="138C7384"/>
    <w:rsid w:val="13AE6DFE"/>
    <w:rsid w:val="13C57655"/>
    <w:rsid w:val="141753B0"/>
    <w:rsid w:val="14D93A7E"/>
    <w:rsid w:val="15BF11E2"/>
    <w:rsid w:val="16834866"/>
    <w:rsid w:val="16B163AB"/>
    <w:rsid w:val="17341031"/>
    <w:rsid w:val="179F36D8"/>
    <w:rsid w:val="18D7771F"/>
    <w:rsid w:val="18F31A63"/>
    <w:rsid w:val="1A083E52"/>
    <w:rsid w:val="1A9C046E"/>
    <w:rsid w:val="1AA91D2F"/>
    <w:rsid w:val="1AC05483"/>
    <w:rsid w:val="1AC14A37"/>
    <w:rsid w:val="1B5218AC"/>
    <w:rsid w:val="1B592BF7"/>
    <w:rsid w:val="1BB65D61"/>
    <w:rsid w:val="1BEE6B94"/>
    <w:rsid w:val="1D474A3D"/>
    <w:rsid w:val="1E4A0FC1"/>
    <w:rsid w:val="1E701201"/>
    <w:rsid w:val="1ED7175C"/>
    <w:rsid w:val="200F4175"/>
    <w:rsid w:val="2025125D"/>
    <w:rsid w:val="205D5159"/>
    <w:rsid w:val="20B171B2"/>
    <w:rsid w:val="20BC6007"/>
    <w:rsid w:val="20C611F4"/>
    <w:rsid w:val="22B91B55"/>
    <w:rsid w:val="22C55578"/>
    <w:rsid w:val="233455E9"/>
    <w:rsid w:val="234737DA"/>
    <w:rsid w:val="236D0585"/>
    <w:rsid w:val="23926885"/>
    <w:rsid w:val="24083D2E"/>
    <w:rsid w:val="243D4F5D"/>
    <w:rsid w:val="24DE47AD"/>
    <w:rsid w:val="251D2489"/>
    <w:rsid w:val="25293CC2"/>
    <w:rsid w:val="252C04A1"/>
    <w:rsid w:val="252D0046"/>
    <w:rsid w:val="25C519E5"/>
    <w:rsid w:val="26460D5D"/>
    <w:rsid w:val="267E5703"/>
    <w:rsid w:val="26E42EA9"/>
    <w:rsid w:val="272C7BF9"/>
    <w:rsid w:val="27DF7879"/>
    <w:rsid w:val="280E49D9"/>
    <w:rsid w:val="28915D49"/>
    <w:rsid w:val="294E5D62"/>
    <w:rsid w:val="295A6668"/>
    <w:rsid w:val="29AE00F8"/>
    <w:rsid w:val="2A3D603E"/>
    <w:rsid w:val="2A691684"/>
    <w:rsid w:val="2AF449FA"/>
    <w:rsid w:val="2B170E04"/>
    <w:rsid w:val="2B29105F"/>
    <w:rsid w:val="2B5076E5"/>
    <w:rsid w:val="2C614371"/>
    <w:rsid w:val="2C967E12"/>
    <w:rsid w:val="2CB17934"/>
    <w:rsid w:val="2D350FA2"/>
    <w:rsid w:val="2D362A98"/>
    <w:rsid w:val="2D474D3D"/>
    <w:rsid w:val="2D8E579D"/>
    <w:rsid w:val="2DC30D18"/>
    <w:rsid w:val="2E8C5242"/>
    <w:rsid w:val="2F055F97"/>
    <w:rsid w:val="2F5371E3"/>
    <w:rsid w:val="2FCF2BE1"/>
    <w:rsid w:val="31427EE0"/>
    <w:rsid w:val="31CF2177"/>
    <w:rsid w:val="31E962CE"/>
    <w:rsid w:val="31EF7B6D"/>
    <w:rsid w:val="324D5FF3"/>
    <w:rsid w:val="324E341D"/>
    <w:rsid w:val="328040B5"/>
    <w:rsid w:val="32951A8C"/>
    <w:rsid w:val="32B25D17"/>
    <w:rsid w:val="32BC0A66"/>
    <w:rsid w:val="33071C3C"/>
    <w:rsid w:val="3321671D"/>
    <w:rsid w:val="33234D51"/>
    <w:rsid w:val="35191989"/>
    <w:rsid w:val="355063FE"/>
    <w:rsid w:val="355A2A82"/>
    <w:rsid w:val="357C2C04"/>
    <w:rsid w:val="35D86E29"/>
    <w:rsid w:val="35DF4402"/>
    <w:rsid w:val="360E42A1"/>
    <w:rsid w:val="366A578F"/>
    <w:rsid w:val="36B33B2E"/>
    <w:rsid w:val="36CF5459"/>
    <w:rsid w:val="37156206"/>
    <w:rsid w:val="382F3BFC"/>
    <w:rsid w:val="385507B2"/>
    <w:rsid w:val="388A1D5A"/>
    <w:rsid w:val="389A1EB0"/>
    <w:rsid w:val="38D67FEA"/>
    <w:rsid w:val="399C2294"/>
    <w:rsid w:val="39C91A8E"/>
    <w:rsid w:val="3A0B6B07"/>
    <w:rsid w:val="3A426882"/>
    <w:rsid w:val="3A517DEA"/>
    <w:rsid w:val="3AC865AA"/>
    <w:rsid w:val="3B1A5F88"/>
    <w:rsid w:val="3B6B6C3C"/>
    <w:rsid w:val="3BDA6A79"/>
    <w:rsid w:val="3C02155C"/>
    <w:rsid w:val="3C8B11AC"/>
    <w:rsid w:val="3C9A77EC"/>
    <w:rsid w:val="3CB77EE1"/>
    <w:rsid w:val="3CF257BE"/>
    <w:rsid w:val="3D0E12B2"/>
    <w:rsid w:val="3D1A211A"/>
    <w:rsid w:val="3DF75F84"/>
    <w:rsid w:val="3E68560A"/>
    <w:rsid w:val="3EB831A1"/>
    <w:rsid w:val="3F050AC1"/>
    <w:rsid w:val="3F9A4222"/>
    <w:rsid w:val="3FA62849"/>
    <w:rsid w:val="3FAC0B7E"/>
    <w:rsid w:val="4000781E"/>
    <w:rsid w:val="404861CA"/>
    <w:rsid w:val="408E315A"/>
    <w:rsid w:val="40AC6C9A"/>
    <w:rsid w:val="40C07D17"/>
    <w:rsid w:val="40DC60F9"/>
    <w:rsid w:val="422C6733"/>
    <w:rsid w:val="430C63DD"/>
    <w:rsid w:val="43904414"/>
    <w:rsid w:val="43D7193D"/>
    <w:rsid w:val="442941C6"/>
    <w:rsid w:val="445A6440"/>
    <w:rsid w:val="44724A3C"/>
    <w:rsid w:val="447720BC"/>
    <w:rsid w:val="45006437"/>
    <w:rsid w:val="45696E8F"/>
    <w:rsid w:val="456B496B"/>
    <w:rsid w:val="45802779"/>
    <w:rsid w:val="47210619"/>
    <w:rsid w:val="477D0034"/>
    <w:rsid w:val="47876DFD"/>
    <w:rsid w:val="47F54B2F"/>
    <w:rsid w:val="481E7234"/>
    <w:rsid w:val="482D5B5E"/>
    <w:rsid w:val="48FB5C41"/>
    <w:rsid w:val="49660C7B"/>
    <w:rsid w:val="49DF696D"/>
    <w:rsid w:val="4A1A076E"/>
    <w:rsid w:val="4A5C670B"/>
    <w:rsid w:val="4A8911EC"/>
    <w:rsid w:val="4A9733B4"/>
    <w:rsid w:val="4AE34DC3"/>
    <w:rsid w:val="4AE67E22"/>
    <w:rsid w:val="4AF47043"/>
    <w:rsid w:val="4B8C2B6D"/>
    <w:rsid w:val="4BD12831"/>
    <w:rsid w:val="4BD87959"/>
    <w:rsid w:val="4C1478E6"/>
    <w:rsid w:val="4C2068A5"/>
    <w:rsid w:val="4C7B5B36"/>
    <w:rsid w:val="4CEB40F1"/>
    <w:rsid w:val="4DA22579"/>
    <w:rsid w:val="4E3A4AF8"/>
    <w:rsid w:val="4EA72C05"/>
    <w:rsid w:val="4ED777B6"/>
    <w:rsid w:val="4F267EE6"/>
    <w:rsid w:val="4F791325"/>
    <w:rsid w:val="4F807F1B"/>
    <w:rsid w:val="4FFD79DB"/>
    <w:rsid w:val="50F64E15"/>
    <w:rsid w:val="512C01BE"/>
    <w:rsid w:val="518E0241"/>
    <w:rsid w:val="51C26FF5"/>
    <w:rsid w:val="51F03E9C"/>
    <w:rsid w:val="530C0291"/>
    <w:rsid w:val="53D8390A"/>
    <w:rsid w:val="540A75AB"/>
    <w:rsid w:val="543227D1"/>
    <w:rsid w:val="543D0CF7"/>
    <w:rsid w:val="543E4065"/>
    <w:rsid w:val="54513991"/>
    <w:rsid w:val="548736E2"/>
    <w:rsid w:val="548F040D"/>
    <w:rsid w:val="54E14DB5"/>
    <w:rsid w:val="555261BB"/>
    <w:rsid w:val="55802ABE"/>
    <w:rsid w:val="55D93CD2"/>
    <w:rsid w:val="561B0385"/>
    <w:rsid w:val="56417517"/>
    <w:rsid w:val="56A567E3"/>
    <w:rsid w:val="57B443C6"/>
    <w:rsid w:val="583361E4"/>
    <w:rsid w:val="59360482"/>
    <w:rsid w:val="595A12EB"/>
    <w:rsid w:val="59771682"/>
    <w:rsid w:val="59C37BF4"/>
    <w:rsid w:val="59F1469D"/>
    <w:rsid w:val="5A6D7256"/>
    <w:rsid w:val="5A7820F1"/>
    <w:rsid w:val="5ACD2C01"/>
    <w:rsid w:val="5B660CC8"/>
    <w:rsid w:val="5B69104B"/>
    <w:rsid w:val="5BC506E5"/>
    <w:rsid w:val="5BCC5A4B"/>
    <w:rsid w:val="5C105D33"/>
    <w:rsid w:val="5C585F86"/>
    <w:rsid w:val="5C646270"/>
    <w:rsid w:val="5CF83CE0"/>
    <w:rsid w:val="5D1C76E6"/>
    <w:rsid w:val="5D284706"/>
    <w:rsid w:val="5D2A0D4B"/>
    <w:rsid w:val="5D3828B3"/>
    <w:rsid w:val="5DBF7E95"/>
    <w:rsid w:val="5DEF434A"/>
    <w:rsid w:val="5DF63183"/>
    <w:rsid w:val="5EC77955"/>
    <w:rsid w:val="5EFC1767"/>
    <w:rsid w:val="5F2F6F1E"/>
    <w:rsid w:val="5F3C46FF"/>
    <w:rsid w:val="5F4C3EFC"/>
    <w:rsid w:val="5F6B66F7"/>
    <w:rsid w:val="5F9149D0"/>
    <w:rsid w:val="60210D09"/>
    <w:rsid w:val="604C5E37"/>
    <w:rsid w:val="608069A5"/>
    <w:rsid w:val="60930BD5"/>
    <w:rsid w:val="614536C5"/>
    <w:rsid w:val="6149698D"/>
    <w:rsid w:val="61595357"/>
    <w:rsid w:val="6174111D"/>
    <w:rsid w:val="61B5492D"/>
    <w:rsid w:val="6268525C"/>
    <w:rsid w:val="62DE0F56"/>
    <w:rsid w:val="62F54DDD"/>
    <w:rsid w:val="633323CF"/>
    <w:rsid w:val="6359752F"/>
    <w:rsid w:val="64266483"/>
    <w:rsid w:val="644B793C"/>
    <w:rsid w:val="64631D51"/>
    <w:rsid w:val="64A67694"/>
    <w:rsid w:val="65DA227D"/>
    <w:rsid w:val="65DB5DF1"/>
    <w:rsid w:val="66852606"/>
    <w:rsid w:val="676C13A8"/>
    <w:rsid w:val="67AE4C9F"/>
    <w:rsid w:val="6808356E"/>
    <w:rsid w:val="6846056B"/>
    <w:rsid w:val="68BE084E"/>
    <w:rsid w:val="68E41C07"/>
    <w:rsid w:val="69DF5FFB"/>
    <w:rsid w:val="6A0655B2"/>
    <w:rsid w:val="6A174B1A"/>
    <w:rsid w:val="6A6F65DE"/>
    <w:rsid w:val="6A797AEF"/>
    <w:rsid w:val="6A7E398F"/>
    <w:rsid w:val="6A8D7000"/>
    <w:rsid w:val="6AC926A6"/>
    <w:rsid w:val="6ACA65F5"/>
    <w:rsid w:val="6AE26214"/>
    <w:rsid w:val="6B186D46"/>
    <w:rsid w:val="6B8C3DAB"/>
    <w:rsid w:val="6BA720E7"/>
    <w:rsid w:val="6C7E6CAE"/>
    <w:rsid w:val="6C8B6626"/>
    <w:rsid w:val="6CEF7EBA"/>
    <w:rsid w:val="6E101464"/>
    <w:rsid w:val="6F1F65DF"/>
    <w:rsid w:val="6F6636AF"/>
    <w:rsid w:val="6F780C4F"/>
    <w:rsid w:val="6F9435D2"/>
    <w:rsid w:val="6FFD274A"/>
    <w:rsid w:val="701972BB"/>
    <w:rsid w:val="70807E7A"/>
    <w:rsid w:val="70936213"/>
    <w:rsid w:val="71160FE0"/>
    <w:rsid w:val="71B264AF"/>
    <w:rsid w:val="71B52858"/>
    <w:rsid w:val="721B2244"/>
    <w:rsid w:val="72D41012"/>
    <w:rsid w:val="72D677AE"/>
    <w:rsid w:val="737663A7"/>
    <w:rsid w:val="73CF1AF8"/>
    <w:rsid w:val="74345382"/>
    <w:rsid w:val="749A028C"/>
    <w:rsid w:val="75801B21"/>
    <w:rsid w:val="75C85476"/>
    <w:rsid w:val="76047185"/>
    <w:rsid w:val="76F676E6"/>
    <w:rsid w:val="76FC2312"/>
    <w:rsid w:val="779B2719"/>
    <w:rsid w:val="77FA7C17"/>
    <w:rsid w:val="7851629A"/>
    <w:rsid w:val="78BF0B64"/>
    <w:rsid w:val="790B4BE4"/>
    <w:rsid w:val="79255E17"/>
    <w:rsid w:val="79345DAA"/>
    <w:rsid w:val="798706A2"/>
    <w:rsid w:val="79AB0C10"/>
    <w:rsid w:val="7AE16775"/>
    <w:rsid w:val="7B044346"/>
    <w:rsid w:val="7BDB11D4"/>
    <w:rsid w:val="7BF00107"/>
    <w:rsid w:val="7C230E7C"/>
    <w:rsid w:val="7CFB22E8"/>
    <w:rsid w:val="7D383402"/>
    <w:rsid w:val="7E0E73A1"/>
    <w:rsid w:val="7F3E0A1F"/>
    <w:rsid w:val="7F695A73"/>
    <w:rsid w:val="7F89716F"/>
    <w:rsid w:val="7FA430DB"/>
    <w:rsid w:val="7FBF2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HTML Preformatted"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68"/>
    <w:pPr>
      <w:widowControl w:val="0"/>
      <w:jc w:val="both"/>
    </w:pPr>
    <w:rPr>
      <w:kern w:val="2"/>
      <w:sz w:val="21"/>
      <w:szCs w:val="22"/>
    </w:rPr>
  </w:style>
  <w:style w:type="paragraph" w:styleId="1">
    <w:name w:val="heading 1"/>
    <w:next w:val="a"/>
    <w:uiPriority w:val="9"/>
    <w:qFormat/>
    <w:rsid w:val="00C45E68"/>
    <w:pPr>
      <w:spacing w:beforeLines="100" w:line="460" w:lineRule="exact"/>
      <w:ind w:firstLineChars="200" w:firstLine="200"/>
      <w:outlineLvl w:val="0"/>
    </w:pPr>
    <w:rPr>
      <w:rFonts w:ascii="Times New Roman" w:eastAsia="微软雅黑" w:hAnsi="Times New Roman" w:cs="Times New Roman" w:hint="eastAsia"/>
      <w:b/>
      <w:color w:val="000000" w:themeColor="text1"/>
      <w:kern w:val="44"/>
      <w:sz w:val="21"/>
      <w:szCs w:val="48"/>
    </w:rPr>
  </w:style>
  <w:style w:type="paragraph" w:styleId="2">
    <w:name w:val="heading 2"/>
    <w:basedOn w:val="a"/>
    <w:next w:val="a"/>
    <w:link w:val="2Char"/>
    <w:uiPriority w:val="9"/>
    <w:unhideWhenUsed/>
    <w:qFormat/>
    <w:rsid w:val="00C45E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rsid w:val="00C45E68"/>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Char"/>
    <w:uiPriority w:val="9"/>
    <w:qFormat/>
    <w:rsid w:val="00C45E6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C45E68"/>
    <w:rPr>
      <w:rFonts w:ascii="宋体" w:hAnsi="Courier New" w:hint="eastAsia"/>
    </w:rPr>
  </w:style>
  <w:style w:type="paragraph" w:styleId="a4">
    <w:name w:val="Date"/>
    <w:basedOn w:val="a"/>
    <w:next w:val="a"/>
    <w:link w:val="Char"/>
    <w:uiPriority w:val="99"/>
    <w:unhideWhenUsed/>
    <w:qFormat/>
    <w:rsid w:val="00C45E68"/>
    <w:pPr>
      <w:ind w:leftChars="2500" w:left="100"/>
    </w:pPr>
  </w:style>
  <w:style w:type="paragraph" w:styleId="a5">
    <w:name w:val="Balloon Text"/>
    <w:basedOn w:val="a"/>
    <w:link w:val="Char0"/>
    <w:uiPriority w:val="99"/>
    <w:unhideWhenUsed/>
    <w:qFormat/>
    <w:rsid w:val="00C45E68"/>
    <w:rPr>
      <w:sz w:val="18"/>
      <w:szCs w:val="18"/>
    </w:rPr>
  </w:style>
  <w:style w:type="paragraph" w:styleId="a6">
    <w:name w:val="footer"/>
    <w:basedOn w:val="a"/>
    <w:link w:val="Char1"/>
    <w:uiPriority w:val="99"/>
    <w:unhideWhenUsed/>
    <w:qFormat/>
    <w:rsid w:val="00C45E68"/>
    <w:pPr>
      <w:tabs>
        <w:tab w:val="center" w:pos="4153"/>
        <w:tab w:val="right" w:pos="8306"/>
      </w:tabs>
      <w:snapToGrid w:val="0"/>
      <w:jc w:val="left"/>
    </w:pPr>
    <w:rPr>
      <w:sz w:val="18"/>
      <w:szCs w:val="18"/>
    </w:rPr>
  </w:style>
  <w:style w:type="paragraph" w:styleId="a7">
    <w:name w:val="header"/>
    <w:basedOn w:val="a"/>
    <w:uiPriority w:val="99"/>
    <w:unhideWhenUsed/>
    <w:qFormat/>
    <w:rsid w:val="00C45E6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C4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sid w:val="00C45E68"/>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2"/>
    <w:uiPriority w:val="10"/>
    <w:qFormat/>
    <w:rsid w:val="00C45E68"/>
    <w:pPr>
      <w:spacing w:before="240" w:after="60"/>
      <w:jc w:val="center"/>
      <w:outlineLvl w:val="0"/>
    </w:pPr>
    <w:rPr>
      <w:rFonts w:asciiTheme="majorHAnsi" w:eastAsiaTheme="majorEastAsia" w:hAnsiTheme="majorHAnsi" w:cstheme="majorBidi"/>
      <w:b/>
      <w:bCs/>
      <w:sz w:val="32"/>
      <w:szCs w:val="32"/>
    </w:rPr>
  </w:style>
  <w:style w:type="character" w:styleId="aa">
    <w:name w:val="Strong"/>
    <w:basedOn w:val="a0"/>
    <w:uiPriority w:val="22"/>
    <w:qFormat/>
    <w:rsid w:val="00C45E68"/>
    <w:rPr>
      <w:b/>
      <w:bCs/>
    </w:rPr>
  </w:style>
  <w:style w:type="character" w:styleId="ab">
    <w:name w:val="page number"/>
    <w:basedOn w:val="a0"/>
    <w:uiPriority w:val="99"/>
    <w:semiHidden/>
    <w:unhideWhenUsed/>
    <w:qFormat/>
    <w:rsid w:val="00C45E68"/>
  </w:style>
  <w:style w:type="character" w:styleId="ac">
    <w:name w:val="FollowedHyperlink"/>
    <w:basedOn w:val="a0"/>
    <w:uiPriority w:val="99"/>
    <w:unhideWhenUsed/>
    <w:qFormat/>
    <w:rsid w:val="00C45E68"/>
    <w:rPr>
      <w:color w:val="800080" w:themeColor="followedHyperlink"/>
      <w:u w:val="single"/>
    </w:rPr>
  </w:style>
  <w:style w:type="character" w:styleId="ad">
    <w:name w:val="Emphasis"/>
    <w:basedOn w:val="a0"/>
    <w:uiPriority w:val="20"/>
    <w:qFormat/>
    <w:rsid w:val="00C45E68"/>
    <w:rPr>
      <w:i/>
      <w:iCs/>
    </w:rPr>
  </w:style>
  <w:style w:type="character" w:styleId="ae">
    <w:name w:val="Hyperlink"/>
    <w:basedOn w:val="a0"/>
    <w:uiPriority w:val="99"/>
    <w:unhideWhenUsed/>
    <w:qFormat/>
    <w:rsid w:val="00C45E68"/>
    <w:rPr>
      <w:color w:val="0000FF" w:themeColor="hyperlink"/>
      <w:u w:val="single"/>
    </w:rPr>
  </w:style>
  <w:style w:type="character" w:customStyle="1" w:styleId="Char0">
    <w:name w:val="批注框文本 Char"/>
    <w:basedOn w:val="a0"/>
    <w:link w:val="a5"/>
    <w:uiPriority w:val="99"/>
    <w:semiHidden/>
    <w:qFormat/>
    <w:rsid w:val="00C45E68"/>
    <w:rPr>
      <w:sz w:val="18"/>
      <w:szCs w:val="18"/>
    </w:rPr>
  </w:style>
  <w:style w:type="character" w:customStyle="1" w:styleId="Char1">
    <w:name w:val="页脚 Char"/>
    <w:basedOn w:val="a0"/>
    <w:link w:val="a6"/>
    <w:uiPriority w:val="99"/>
    <w:qFormat/>
    <w:rsid w:val="00C45E68"/>
    <w:rPr>
      <w:rFonts w:asciiTheme="minorHAnsi" w:eastAsiaTheme="minorEastAsia" w:hAnsiTheme="minorHAnsi" w:cstheme="minorBidi"/>
      <w:kern w:val="2"/>
      <w:sz w:val="18"/>
      <w:szCs w:val="18"/>
    </w:rPr>
  </w:style>
  <w:style w:type="paragraph" w:customStyle="1" w:styleId="Style2">
    <w:name w:val="_Style 2"/>
    <w:basedOn w:val="a"/>
    <w:uiPriority w:val="34"/>
    <w:qFormat/>
    <w:rsid w:val="00C45E68"/>
    <w:pPr>
      <w:ind w:firstLineChars="200" w:firstLine="420"/>
    </w:pPr>
  </w:style>
  <w:style w:type="paragraph" w:customStyle="1" w:styleId="20">
    <w:name w:val="列出段落2"/>
    <w:basedOn w:val="a"/>
    <w:qFormat/>
    <w:rsid w:val="00C45E68"/>
    <w:pPr>
      <w:ind w:firstLineChars="200" w:firstLine="420"/>
    </w:pPr>
    <w:rPr>
      <w:rFonts w:ascii="Times New Roman" w:eastAsia="宋体" w:hAnsi="Times New Roman" w:cs="Times New Roman"/>
      <w:szCs w:val="24"/>
    </w:rPr>
  </w:style>
  <w:style w:type="paragraph" w:customStyle="1" w:styleId="10">
    <w:name w:val="列出段落1"/>
    <w:basedOn w:val="a"/>
    <w:uiPriority w:val="34"/>
    <w:qFormat/>
    <w:rsid w:val="00C45E68"/>
    <w:pPr>
      <w:ind w:firstLineChars="200" w:firstLine="420"/>
    </w:pPr>
  </w:style>
  <w:style w:type="paragraph" w:customStyle="1" w:styleId="30">
    <w:name w:val="列出段落3"/>
    <w:basedOn w:val="a"/>
    <w:uiPriority w:val="99"/>
    <w:unhideWhenUsed/>
    <w:qFormat/>
    <w:rsid w:val="00C45E68"/>
    <w:pPr>
      <w:ind w:firstLineChars="200" w:firstLine="420"/>
    </w:pPr>
  </w:style>
  <w:style w:type="paragraph" w:customStyle="1" w:styleId="Default">
    <w:name w:val="Default"/>
    <w:qFormat/>
    <w:rsid w:val="00C45E68"/>
    <w:pPr>
      <w:autoSpaceDE w:val="0"/>
      <w:autoSpaceDN w:val="0"/>
      <w:adjustRightInd w:val="0"/>
    </w:pPr>
    <w:rPr>
      <w:rFonts w:ascii="微软雅黑" w:eastAsia="微软雅黑" w:hAnsi="Times New Roman" w:cs="微软雅黑"/>
      <w:color w:val="000000"/>
      <w:sz w:val="24"/>
      <w:szCs w:val="24"/>
    </w:rPr>
  </w:style>
  <w:style w:type="character" w:customStyle="1" w:styleId="HTMLChar">
    <w:name w:val="HTML 预设格式 Char"/>
    <w:basedOn w:val="a0"/>
    <w:link w:val="HTML"/>
    <w:uiPriority w:val="99"/>
    <w:qFormat/>
    <w:rsid w:val="00C45E68"/>
    <w:rPr>
      <w:rFonts w:ascii="宋体" w:hAnsi="宋体"/>
      <w:sz w:val="24"/>
      <w:szCs w:val="24"/>
    </w:rPr>
  </w:style>
  <w:style w:type="paragraph" w:customStyle="1" w:styleId="40">
    <w:name w:val="列出段落4"/>
    <w:basedOn w:val="a"/>
    <w:uiPriority w:val="99"/>
    <w:unhideWhenUsed/>
    <w:qFormat/>
    <w:rsid w:val="00C45E68"/>
    <w:pPr>
      <w:ind w:firstLineChars="200" w:firstLine="420"/>
    </w:pPr>
  </w:style>
  <w:style w:type="paragraph" w:customStyle="1" w:styleId="71">
    <w:name w:val="列出段落71"/>
    <w:basedOn w:val="a"/>
    <w:qFormat/>
    <w:rsid w:val="00C45E68"/>
    <w:pPr>
      <w:widowControl/>
      <w:ind w:firstLineChars="200" w:firstLine="420"/>
    </w:pPr>
    <w:rPr>
      <w:rFonts w:ascii="Times New Roman" w:hAnsi="Times New Roman"/>
    </w:rPr>
  </w:style>
  <w:style w:type="character" w:customStyle="1" w:styleId="11">
    <w:name w:val="未处理的提及1"/>
    <w:basedOn w:val="a0"/>
    <w:uiPriority w:val="99"/>
    <w:unhideWhenUsed/>
    <w:qFormat/>
    <w:rsid w:val="00C45E68"/>
    <w:rPr>
      <w:color w:val="808080"/>
      <w:shd w:val="clear" w:color="auto" w:fill="E6E6E6"/>
    </w:rPr>
  </w:style>
  <w:style w:type="character" w:customStyle="1" w:styleId="21">
    <w:name w:val="未处理的提及2"/>
    <w:basedOn w:val="a0"/>
    <w:uiPriority w:val="99"/>
    <w:unhideWhenUsed/>
    <w:qFormat/>
    <w:rsid w:val="00C45E68"/>
    <w:rPr>
      <w:color w:val="808080"/>
      <w:shd w:val="clear" w:color="auto" w:fill="E6E6E6"/>
    </w:rPr>
  </w:style>
  <w:style w:type="paragraph" w:customStyle="1" w:styleId="crw">
    <w:name w:val="crw标题"/>
    <w:next w:val="a"/>
    <w:link w:val="crw0"/>
    <w:qFormat/>
    <w:rsid w:val="00C45E68"/>
    <w:pPr>
      <w:spacing w:line="380" w:lineRule="exact"/>
      <w:outlineLvl w:val="0"/>
    </w:pPr>
    <w:rPr>
      <w:rFonts w:ascii="微软雅黑" w:eastAsia="微软雅黑" w:cs="微软雅黑"/>
      <w:b/>
      <w:color w:val="000000" w:themeColor="text1"/>
      <w:sz w:val="30"/>
      <w:szCs w:val="30"/>
    </w:rPr>
  </w:style>
  <w:style w:type="character" w:customStyle="1" w:styleId="crw0">
    <w:name w:val="crw标题 字符"/>
    <w:basedOn w:val="a0"/>
    <w:link w:val="crw"/>
    <w:qFormat/>
    <w:rsid w:val="00C45E68"/>
    <w:rPr>
      <w:rFonts w:ascii="微软雅黑" w:eastAsia="微软雅黑" w:hAnsiTheme="minorHAnsi" w:cs="微软雅黑"/>
      <w:b/>
      <w:color w:val="000000" w:themeColor="text1"/>
      <w:sz w:val="30"/>
      <w:szCs w:val="30"/>
    </w:rPr>
  </w:style>
  <w:style w:type="paragraph" w:customStyle="1" w:styleId="crw1">
    <w:name w:val="crw正文"/>
    <w:next w:val="a"/>
    <w:link w:val="crw2"/>
    <w:qFormat/>
    <w:rsid w:val="00C45E68"/>
    <w:pPr>
      <w:widowControl w:val="0"/>
      <w:spacing w:line="460" w:lineRule="exact"/>
      <w:ind w:firstLineChars="200" w:firstLine="200"/>
      <w:jc w:val="both"/>
    </w:pPr>
    <w:rPr>
      <w:rFonts w:ascii="微软雅黑" w:eastAsia="微软雅黑" w:hAnsi="Times New Roman"/>
      <w:color w:val="000000" w:themeColor="text1"/>
      <w:kern w:val="21"/>
      <w:sz w:val="21"/>
      <w:szCs w:val="21"/>
    </w:rPr>
  </w:style>
  <w:style w:type="paragraph" w:customStyle="1" w:styleId="crw3">
    <w:name w:val="crw说明"/>
    <w:next w:val="Default"/>
    <w:link w:val="crw4"/>
    <w:qFormat/>
    <w:rsid w:val="00C45E68"/>
    <w:pPr>
      <w:widowControl w:val="0"/>
      <w:spacing w:beforeLines="100" w:afterLines="100" w:line="380" w:lineRule="exact"/>
    </w:pPr>
    <w:rPr>
      <w:rFonts w:ascii="微软雅黑" w:eastAsia="微软雅黑" w:hAnsi="Times New Roman" w:cs="宋体"/>
      <w:bCs/>
      <w:color w:val="632423" w:themeColor="accent2" w:themeShade="80"/>
      <w:kern w:val="2"/>
      <w:sz w:val="21"/>
      <w:szCs w:val="22"/>
    </w:rPr>
  </w:style>
  <w:style w:type="character" w:customStyle="1" w:styleId="crw2">
    <w:name w:val="crw正文 字符"/>
    <w:basedOn w:val="a0"/>
    <w:link w:val="crw1"/>
    <w:qFormat/>
    <w:rsid w:val="00C45E68"/>
    <w:rPr>
      <w:rFonts w:ascii="微软雅黑" w:eastAsia="微软雅黑" w:cstheme="minorBidi"/>
      <w:color w:val="000000" w:themeColor="text1"/>
      <w:kern w:val="21"/>
      <w:sz w:val="21"/>
      <w:szCs w:val="21"/>
    </w:rPr>
  </w:style>
  <w:style w:type="character" w:customStyle="1" w:styleId="crw4">
    <w:name w:val="crw说明 字符"/>
    <w:basedOn w:val="a0"/>
    <w:link w:val="crw3"/>
    <w:qFormat/>
    <w:rsid w:val="00C45E68"/>
    <w:rPr>
      <w:rFonts w:ascii="微软雅黑" w:eastAsia="微软雅黑" w:cs="宋体"/>
      <w:bCs/>
      <w:color w:val="632423" w:themeColor="accent2" w:themeShade="80"/>
      <w:kern w:val="2"/>
      <w:sz w:val="21"/>
      <w:szCs w:val="22"/>
    </w:rPr>
  </w:style>
  <w:style w:type="character" w:customStyle="1" w:styleId="31">
    <w:name w:val="未处理的提及3"/>
    <w:basedOn w:val="a0"/>
    <w:uiPriority w:val="99"/>
    <w:unhideWhenUsed/>
    <w:qFormat/>
    <w:rsid w:val="00C45E68"/>
    <w:rPr>
      <w:color w:val="808080"/>
      <w:shd w:val="clear" w:color="auto" w:fill="E6E6E6"/>
    </w:rPr>
  </w:style>
  <w:style w:type="character" w:customStyle="1" w:styleId="41">
    <w:name w:val="未处理的提及4"/>
    <w:basedOn w:val="a0"/>
    <w:uiPriority w:val="99"/>
    <w:unhideWhenUsed/>
    <w:qFormat/>
    <w:rsid w:val="00C45E68"/>
    <w:rPr>
      <w:color w:val="808080"/>
      <w:shd w:val="clear" w:color="auto" w:fill="E6E6E6"/>
    </w:rPr>
  </w:style>
  <w:style w:type="character" w:customStyle="1" w:styleId="4Char">
    <w:name w:val="标题 4 Char"/>
    <w:basedOn w:val="a0"/>
    <w:link w:val="4"/>
    <w:uiPriority w:val="9"/>
    <w:qFormat/>
    <w:rsid w:val="00C45E68"/>
    <w:rPr>
      <w:rFonts w:ascii="宋体" w:hAnsi="宋体" w:cs="宋体"/>
      <w:b/>
      <w:bCs/>
      <w:sz w:val="24"/>
      <w:szCs w:val="24"/>
    </w:rPr>
  </w:style>
  <w:style w:type="character" w:customStyle="1" w:styleId="2Char">
    <w:name w:val="标题 2 Char"/>
    <w:basedOn w:val="a0"/>
    <w:link w:val="2"/>
    <w:uiPriority w:val="9"/>
    <w:qFormat/>
    <w:rsid w:val="00C45E68"/>
    <w:rPr>
      <w:rFonts w:asciiTheme="majorHAnsi" w:eastAsiaTheme="majorEastAsia" w:hAnsiTheme="majorHAnsi" w:cstheme="majorBidi"/>
      <w:b/>
      <w:bCs/>
      <w:kern w:val="2"/>
      <w:sz w:val="32"/>
      <w:szCs w:val="32"/>
    </w:rPr>
  </w:style>
  <w:style w:type="character" w:customStyle="1" w:styleId="Char">
    <w:name w:val="日期 Char"/>
    <w:basedOn w:val="a0"/>
    <w:link w:val="a4"/>
    <w:uiPriority w:val="99"/>
    <w:semiHidden/>
    <w:qFormat/>
    <w:rsid w:val="00C45E68"/>
    <w:rPr>
      <w:rFonts w:asciiTheme="minorHAnsi" w:eastAsiaTheme="minorEastAsia" w:hAnsiTheme="minorHAnsi" w:cstheme="minorBidi"/>
      <w:kern w:val="2"/>
      <w:sz w:val="21"/>
      <w:szCs w:val="22"/>
    </w:rPr>
  </w:style>
  <w:style w:type="character" w:customStyle="1" w:styleId="5">
    <w:name w:val="未处理的提及5"/>
    <w:basedOn w:val="a0"/>
    <w:uiPriority w:val="99"/>
    <w:unhideWhenUsed/>
    <w:qFormat/>
    <w:rsid w:val="00C45E68"/>
    <w:rPr>
      <w:color w:val="808080"/>
      <w:shd w:val="clear" w:color="auto" w:fill="E6E6E6"/>
    </w:rPr>
  </w:style>
  <w:style w:type="character" w:customStyle="1" w:styleId="6">
    <w:name w:val="未处理的提及6"/>
    <w:basedOn w:val="a0"/>
    <w:uiPriority w:val="99"/>
    <w:semiHidden/>
    <w:unhideWhenUsed/>
    <w:qFormat/>
    <w:rsid w:val="00C45E68"/>
    <w:rPr>
      <w:color w:val="808080"/>
      <w:shd w:val="clear" w:color="auto" w:fill="E6E6E6"/>
    </w:rPr>
  </w:style>
  <w:style w:type="character" w:customStyle="1" w:styleId="7">
    <w:name w:val="未处理的提及7"/>
    <w:basedOn w:val="a0"/>
    <w:uiPriority w:val="99"/>
    <w:semiHidden/>
    <w:unhideWhenUsed/>
    <w:qFormat/>
    <w:rsid w:val="00C45E68"/>
    <w:rPr>
      <w:color w:val="808080"/>
      <w:shd w:val="clear" w:color="auto" w:fill="E6E6E6"/>
    </w:rPr>
  </w:style>
  <w:style w:type="character" w:customStyle="1" w:styleId="8">
    <w:name w:val="未处理的提及8"/>
    <w:basedOn w:val="a0"/>
    <w:uiPriority w:val="99"/>
    <w:semiHidden/>
    <w:unhideWhenUsed/>
    <w:qFormat/>
    <w:rsid w:val="00C45E68"/>
    <w:rPr>
      <w:color w:val="808080"/>
      <w:shd w:val="clear" w:color="auto" w:fill="E6E6E6"/>
    </w:rPr>
  </w:style>
  <w:style w:type="paragraph" w:styleId="af">
    <w:name w:val="List Paragraph"/>
    <w:basedOn w:val="a"/>
    <w:uiPriority w:val="99"/>
    <w:qFormat/>
    <w:rsid w:val="00C45E68"/>
    <w:pPr>
      <w:ind w:firstLineChars="200" w:firstLine="420"/>
    </w:pPr>
  </w:style>
  <w:style w:type="character" w:customStyle="1" w:styleId="datestamp">
    <w:name w:val="datestamp"/>
    <w:basedOn w:val="a0"/>
    <w:qFormat/>
    <w:rsid w:val="00C45E68"/>
  </w:style>
  <w:style w:type="character" w:customStyle="1" w:styleId="contributor">
    <w:name w:val="contributor"/>
    <w:basedOn w:val="a0"/>
    <w:qFormat/>
    <w:rsid w:val="00C45E68"/>
  </w:style>
  <w:style w:type="character" w:customStyle="1" w:styleId="publication">
    <w:name w:val="publication"/>
    <w:basedOn w:val="a0"/>
    <w:qFormat/>
    <w:rsid w:val="00C45E68"/>
  </w:style>
  <w:style w:type="character" w:customStyle="1" w:styleId="lineage-item">
    <w:name w:val="lineage-item"/>
    <w:basedOn w:val="a0"/>
    <w:qFormat/>
    <w:rsid w:val="00C45E68"/>
  </w:style>
  <w:style w:type="character" w:customStyle="1" w:styleId="a2alabel">
    <w:name w:val="a2a_label"/>
    <w:basedOn w:val="a0"/>
    <w:qFormat/>
    <w:rsid w:val="00C45E68"/>
  </w:style>
  <w:style w:type="character" w:customStyle="1" w:styleId="9">
    <w:name w:val="未处理的提及9"/>
    <w:basedOn w:val="a0"/>
    <w:uiPriority w:val="99"/>
    <w:semiHidden/>
    <w:unhideWhenUsed/>
    <w:qFormat/>
    <w:rsid w:val="00C45E68"/>
    <w:rPr>
      <w:color w:val="605E5C"/>
      <w:shd w:val="clear" w:color="auto" w:fill="E1DFDD"/>
    </w:rPr>
  </w:style>
  <w:style w:type="paragraph" w:customStyle="1" w:styleId="crw5">
    <w:name w:val="crw图示"/>
    <w:basedOn w:val="a"/>
    <w:qFormat/>
    <w:rsid w:val="00C45E68"/>
    <w:pPr>
      <w:jc w:val="center"/>
    </w:pPr>
    <w:rPr>
      <w:sz w:val="18"/>
    </w:rPr>
  </w:style>
  <w:style w:type="character" w:customStyle="1" w:styleId="Char2">
    <w:name w:val="标题 Char"/>
    <w:basedOn w:val="a0"/>
    <w:link w:val="a9"/>
    <w:uiPriority w:val="10"/>
    <w:qFormat/>
    <w:rsid w:val="00C45E68"/>
    <w:rPr>
      <w:rFonts w:asciiTheme="majorHAnsi" w:eastAsiaTheme="majorEastAsia" w:hAnsiTheme="majorHAnsi" w:cstheme="majorBidi"/>
      <w:b/>
      <w:bCs/>
      <w:kern w:val="2"/>
      <w:sz w:val="32"/>
      <w:szCs w:val="32"/>
    </w:rPr>
  </w:style>
  <w:style w:type="paragraph" w:customStyle="1" w:styleId="af0">
    <w:name w:val="周刊正文"/>
    <w:basedOn w:val="a"/>
    <w:link w:val="af1"/>
    <w:qFormat/>
    <w:rsid w:val="00C45E68"/>
    <w:pPr>
      <w:autoSpaceDE w:val="0"/>
      <w:autoSpaceDN w:val="0"/>
      <w:adjustRightInd w:val="0"/>
      <w:spacing w:line="460" w:lineRule="exact"/>
      <w:ind w:firstLineChars="200" w:firstLine="420"/>
    </w:pPr>
    <w:rPr>
      <w:rFonts w:ascii="微软雅黑" w:eastAsia="微软雅黑" w:hAnsi="微软雅黑"/>
      <w:color w:val="000000" w:themeColor="text1"/>
      <w:szCs w:val="21"/>
    </w:rPr>
  </w:style>
  <w:style w:type="character" w:customStyle="1" w:styleId="af1">
    <w:name w:val="周刊正文 字符"/>
    <w:basedOn w:val="a0"/>
    <w:link w:val="af0"/>
    <w:qFormat/>
    <w:rsid w:val="00C45E68"/>
    <w:rPr>
      <w:rFonts w:ascii="微软雅黑" w:eastAsia="微软雅黑" w:hAnsi="微软雅黑"/>
      <w:color w:val="000000" w:themeColor="text1"/>
      <w:szCs w:val="21"/>
    </w:rPr>
  </w:style>
  <w:style w:type="character" w:customStyle="1" w:styleId="UnresolvedMention">
    <w:name w:val="Unresolved Mention"/>
    <w:basedOn w:val="a0"/>
    <w:uiPriority w:val="99"/>
    <w:semiHidden/>
    <w:unhideWhenUsed/>
    <w:qFormat/>
    <w:rsid w:val="00C45E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zhangchi\&#23439;&#35266;&#23395;&#24230;&#25253;&#21578;\&#23395;&#24230;&#65306;GDP&#21644;&#24037;&#19994;&#22686;&#21152;&#20540;&#65288;2003q1&#22987;&#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zhangchi\&#23439;&#35266;&#23395;&#24230;&#25253;&#21578;\&#23395;&#24230;&#65306;&#20215;&#26684;&#25351;&#259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zhangchi\&#23439;&#35266;&#23395;&#24230;&#25253;&#21578;\&#23395;&#24230;&#65306;&#22266;&#23450;&#36164;&#20135;&#25237;&#36164;&#21644;&#28040;&#36153;&#21697;&#38646;&#21806;&#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zhangchi\&#23439;&#35266;&#23395;&#24230;&#25253;&#21578;\&#23395;&#24230;&#65306;&#36827;&#20986;&#21475;&#19982;&#36152;&#26131;&#39034;&#2404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rPr>
              <a:t>GDP及规模以上工业增加值单季同比增长率（%）</a:t>
            </a:r>
          </a:p>
        </c:rich>
      </c:tx>
      <c:layout>
        <c:manualLayout>
          <c:xMode val="edge"/>
          <c:yMode val="edge"/>
          <c:x val="0.14876048081538529"/>
          <c:y val="3.7931034482758738E-2"/>
        </c:manualLayout>
      </c:layout>
      <c:spPr>
        <a:noFill/>
        <a:ln w="25400">
          <a:noFill/>
        </a:ln>
      </c:spPr>
    </c:title>
    <c:plotArea>
      <c:layout>
        <c:manualLayout>
          <c:layoutTarget val="inner"/>
          <c:xMode val="edge"/>
          <c:yMode val="edge"/>
          <c:x val="9.2975300409289391E-2"/>
          <c:y val="0.20689655172413801"/>
          <c:w val="0.85537276376545857"/>
          <c:h val="0.44482758620689722"/>
        </c:manualLayout>
      </c:layout>
      <c:lineChart>
        <c:grouping val="standard"/>
        <c:ser>
          <c:idx val="0"/>
          <c:order val="0"/>
          <c:tx>
            <c:strRef>
              <c:f>GDP</c:f>
              <c:strCache>
                <c:ptCount val="1"/>
                <c:pt idx="0">
                  <c:v>GDP</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cat>
            <c:strRef>
              <c:f>Sheet1!$A$33:$A$68</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Sheet1!$B$33:$B$68</c:f>
              <c:numCache>
                <c:formatCode>General</c:formatCode>
                <c:ptCount val="36"/>
                <c:pt idx="0">
                  <c:v>11.9</c:v>
                </c:pt>
                <c:pt idx="1">
                  <c:v>10.3</c:v>
                </c:pt>
                <c:pt idx="2">
                  <c:v>9.6</c:v>
                </c:pt>
                <c:pt idx="3">
                  <c:v>9.8000000000000007</c:v>
                </c:pt>
                <c:pt idx="4">
                  <c:v>9.7000000000000011</c:v>
                </c:pt>
                <c:pt idx="5">
                  <c:v>9.5</c:v>
                </c:pt>
                <c:pt idx="6">
                  <c:v>9.1</c:v>
                </c:pt>
                <c:pt idx="7">
                  <c:v>8.9</c:v>
                </c:pt>
                <c:pt idx="8">
                  <c:v>8.1</c:v>
                </c:pt>
                <c:pt idx="9">
                  <c:v>7.6</c:v>
                </c:pt>
                <c:pt idx="10">
                  <c:v>7.4</c:v>
                </c:pt>
                <c:pt idx="11">
                  <c:v>7.9</c:v>
                </c:pt>
                <c:pt idx="12">
                  <c:v>7.7</c:v>
                </c:pt>
                <c:pt idx="13">
                  <c:v>7.5</c:v>
                </c:pt>
                <c:pt idx="14">
                  <c:v>7.8</c:v>
                </c:pt>
                <c:pt idx="15">
                  <c:v>7.7</c:v>
                </c:pt>
                <c:pt idx="16">
                  <c:v>7.4</c:v>
                </c:pt>
                <c:pt idx="17">
                  <c:v>7.5</c:v>
                </c:pt>
                <c:pt idx="18">
                  <c:v>7.3</c:v>
                </c:pt>
                <c:pt idx="19">
                  <c:v>7.3</c:v>
                </c:pt>
                <c:pt idx="20">
                  <c:v>7</c:v>
                </c:pt>
                <c:pt idx="21">
                  <c:v>7</c:v>
                </c:pt>
                <c:pt idx="22">
                  <c:v>6.9</c:v>
                </c:pt>
                <c:pt idx="23">
                  <c:v>6.8</c:v>
                </c:pt>
                <c:pt idx="24">
                  <c:v>6.7</c:v>
                </c:pt>
                <c:pt idx="25">
                  <c:v>6.7</c:v>
                </c:pt>
                <c:pt idx="26">
                  <c:v>6.7</c:v>
                </c:pt>
                <c:pt idx="27">
                  <c:v>6.8</c:v>
                </c:pt>
                <c:pt idx="28">
                  <c:v>6.9</c:v>
                </c:pt>
                <c:pt idx="29">
                  <c:v>6.9</c:v>
                </c:pt>
                <c:pt idx="30">
                  <c:v>6.8</c:v>
                </c:pt>
                <c:pt idx="31">
                  <c:v>6.8</c:v>
                </c:pt>
                <c:pt idx="32">
                  <c:v>6.8</c:v>
                </c:pt>
                <c:pt idx="33">
                  <c:v>6.7</c:v>
                </c:pt>
                <c:pt idx="34">
                  <c:v>6.5</c:v>
                </c:pt>
                <c:pt idx="35">
                  <c:v>6.4</c:v>
                </c:pt>
              </c:numCache>
            </c:numRef>
          </c:val>
        </c:ser>
        <c:ser>
          <c:idx val="1"/>
          <c:order val="1"/>
          <c:tx>
            <c:strRef>
              <c:f>工业增加值</c:f>
              <c:strCache>
                <c:ptCount val="1"/>
                <c:pt idx="0">
                  <c:v>工业增加值</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cat>
            <c:strRef>
              <c:f>Sheet1!$A$33:$A$68</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Sheet1!$C$33:$C$68</c:f>
              <c:numCache>
                <c:formatCode>General</c:formatCode>
                <c:ptCount val="36"/>
                <c:pt idx="0">
                  <c:v>19.600000000000001</c:v>
                </c:pt>
                <c:pt idx="1">
                  <c:v>15.6</c:v>
                </c:pt>
                <c:pt idx="2">
                  <c:v>13.5</c:v>
                </c:pt>
                <c:pt idx="3">
                  <c:v>13.3</c:v>
                </c:pt>
                <c:pt idx="4">
                  <c:v>14.4</c:v>
                </c:pt>
                <c:pt idx="5">
                  <c:v>14.2</c:v>
                </c:pt>
                <c:pt idx="6">
                  <c:v>14</c:v>
                </c:pt>
                <c:pt idx="7">
                  <c:v>13</c:v>
                </c:pt>
                <c:pt idx="8">
                  <c:v>11.6</c:v>
                </c:pt>
                <c:pt idx="9">
                  <c:v>9.4</c:v>
                </c:pt>
                <c:pt idx="10">
                  <c:v>9</c:v>
                </c:pt>
                <c:pt idx="11">
                  <c:v>10</c:v>
                </c:pt>
                <c:pt idx="12">
                  <c:v>9.5</c:v>
                </c:pt>
                <c:pt idx="13">
                  <c:v>9.1</c:v>
                </c:pt>
                <c:pt idx="14">
                  <c:v>10.200000000000001</c:v>
                </c:pt>
                <c:pt idx="15">
                  <c:v>10</c:v>
                </c:pt>
                <c:pt idx="16">
                  <c:v>8.7000000000000011</c:v>
                </c:pt>
                <c:pt idx="17">
                  <c:v>8.9</c:v>
                </c:pt>
                <c:pt idx="18">
                  <c:v>7.9</c:v>
                </c:pt>
                <c:pt idx="19">
                  <c:v>7.7</c:v>
                </c:pt>
                <c:pt idx="20">
                  <c:v>6.4</c:v>
                </c:pt>
                <c:pt idx="21">
                  <c:v>6.2</c:v>
                </c:pt>
                <c:pt idx="22">
                  <c:v>6.2</c:v>
                </c:pt>
                <c:pt idx="23">
                  <c:v>5.8</c:v>
                </c:pt>
                <c:pt idx="24">
                  <c:v>5.8</c:v>
                </c:pt>
                <c:pt idx="25">
                  <c:v>6.2</c:v>
                </c:pt>
                <c:pt idx="26">
                  <c:v>6</c:v>
                </c:pt>
                <c:pt idx="27">
                  <c:v>6</c:v>
                </c:pt>
                <c:pt idx="28">
                  <c:v>6.8</c:v>
                </c:pt>
                <c:pt idx="29">
                  <c:v>7</c:v>
                </c:pt>
                <c:pt idx="30">
                  <c:v>6.3</c:v>
                </c:pt>
                <c:pt idx="31">
                  <c:v>6.3</c:v>
                </c:pt>
                <c:pt idx="32">
                  <c:v>6.8</c:v>
                </c:pt>
                <c:pt idx="33">
                  <c:v>6.7</c:v>
                </c:pt>
                <c:pt idx="34">
                  <c:v>5.7</c:v>
                </c:pt>
                <c:pt idx="35">
                  <c:v>5.6</c:v>
                </c:pt>
              </c:numCache>
            </c:numRef>
          </c:val>
        </c:ser>
        <c:marker val="1"/>
        <c:axId val="147632896"/>
        <c:axId val="147634816"/>
      </c:lineChart>
      <c:catAx>
        <c:axId val="147632896"/>
        <c:scaling>
          <c:orientation val="minMax"/>
        </c:scaling>
        <c:axPos val="b"/>
        <c:numFmt formatCode="General" sourceLinked="1"/>
        <c:majorTickMark val="in"/>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47634816"/>
        <c:crosses val="autoZero"/>
        <c:auto val="1"/>
        <c:lblAlgn val="ctr"/>
        <c:lblOffset val="100"/>
        <c:tickLblSkip val="1"/>
      </c:catAx>
      <c:valAx>
        <c:axId val="147634816"/>
        <c:scaling>
          <c:orientation val="minMax"/>
        </c:scaling>
        <c:axPos val="l"/>
        <c:majorGridlines>
          <c:spPr>
            <a:ln w="3175" cap="flat" cmpd="sng" algn="ctr">
              <a:solidFill>
                <a:srgbClr val="000000"/>
              </a:solidFill>
              <a:prstDash val="solid"/>
              <a:round/>
            </a:ln>
          </c:spPr>
        </c:majorGridlines>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47632896"/>
        <c:crosses val="autoZero"/>
        <c:crossBetween val="midCat"/>
      </c:valAx>
    </c:plotArea>
    <c:legend>
      <c:legendPos val="b"/>
      <c:layout>
        <c:manualLayout>
          <c:xMode val="edge"/>
          <c:yMode val="edge"/>
          <c:x val="0.33057895973120244"/>
          <c:y val="0.90344827586206655"/>
          <c:w val="0.37809961498003408"/>
          <c:h val="7.5862068965517324E-2"/>
        </c:manualLayout>
      </c:layout>
      <c:spPr>
        <a:solidFill>
          <a:srgbClr val="FFFFFF"/>
        </a:solidFill>
        <a:ln w="25400">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价格水平单季同比增长率（％）</a:t>
            </a:r>
          </a:p>
        </c:rich>
      </c:tx>
      <c:layout>
        <c:manualLayout>
          <c:xMode val="edge"/>
          <c:yMode val="edge"/>
          <c:x val="0.30988327464092236"/>
          <c:y val="3.7931034482758738E-2"/>
        </c:manualLayout>
      </c:layout>
      <c:spPr>
        <a:noFill/>
        <a:ln w="25400">
          <a:noFill/>
        </a:ln>
      </c:spPr>
    </c:title>
    <c:plotArea>
      <c:layout>
        <c:manualLayout>
          <c:layoutTarget val="inner"/>
          <c:xMode val="edge"/>
          <c:yMode val="edge"/>
          <c:x val="9.0222103394074674E-2"/>
          <c:y val="0.20689655172413801"/>
          <c:w val="0.85929788803700802"/>
          <c:h val="0.62068965517241659"/>
        </c:manualLayout>
      </c:layout>
      <c:lineChart>
        <c:grouping val="standard"/>
        <c:ser>
          <c:idx val="0"/>
          <c:order val="0"/>
          <c:tx>
            <c:strRef>
              <c:f>CPI</c:f>
              <c:strCache>
                <c:ptCount val="1"/>
                <c:pt idx="0">
                  <c:v>CPI</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cat>
            <c:strRef>
              <c:f>价格增长率!$A$31:$A$66</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价格增长率!$B$31:$B$66</c:f>
              <c:numCache>
                <c:formatCode>General</c:formatCode>
                <c:ptCount val="36"/>
                <c:pt idx="0">
                  <c:v>2.2000000000000002</c:v>
                </c:pt>
                <c:pt idx="1">
                  <c:v>3</c:v>
                </c:pt>
                <c:pt idx="2">
                  <c:v>3.2</c:v>
                </c:pt>
                <c:pt idx="3">
                  <c:v>4.8</c:v>
                </c:pt>
                <c:pt idx="4">
                  <c:v>5</c:v>
                </c:pt>
                <c:pt idx="5">
                  <c:v>5.8</c:v>
                </c:pt>
                <c:pt idx="6">
                  <c:v>6.3</c:v>
                </c:pt>
                <c:pt idx="7">
                  <c:v>4.5</c:v>
                </c:pt>
                <c:pt idx="8">
                  <c:v>3.8</c:v>
                </c:pt>
                <c:pt idx="9">
                  <c:v>2.8</c:v>
                </c:pt>
                <c:pt idx="10">
                  <c:v>1.8</c:v>
                </c:pt>
                <c:pt idx="11">
                  <c:v>2</c:v>
                </c:pt>
                <c:pt idx="12">
                  <c:v>2.4</c:v>
                </c:pt>
                <c:pt idx="13">
                  <c:v>2.4</c:v>
                </c:pt>
                <c:pt idx="14">
                  <c:v>2.7</c:v>
                </c:pt>
                <c:pt idx="15">
                  <c:v>2.9</c:v>
                </c:pt>
                <c:pt idx="16">
                  <c:v>2.2999999999999998</c:v>
                </c:pt>
                <c:pt idx="17">
                  <c:v>2.2999999999999998</c:v>
                </c:pt>
                <c:pt idx="18">
                  <c:v>1.7</c:v>
                </c:pt>
                <c:pt idx="19">
                  <c:v>1.7</c:v>
                </c:pt>
                <c:pt idx="20">
                  <c:v>1.2</c:v>
                </c:pt>
                <c:pt idx="21">
                  <c:v>1.4</c:v>
                </c:pt>
                <c:pt idx="22">
                  <c:v>1.6</c:v>
                </c:pt>
                <c:pt idx="23">
                  <c:v>1.4</c:v>
                </c:pt>
                <c:pt idx="24">
                  <c:v>2.1</c:v>
                </c:pt>
                <c:pt idx="25">
                  <c:v>2.1</c:v>
                </c:pt>
                <c:pt idx="26">
                  <c:v>1.8</c:v>
                </c:pt>
                <c:pt idx="27">
                  <c:v>2</c:v>
                </c:pt>
                <c:pt idx="28">
                  <c:v>1.4</c:v>
                </c:pt>
                <c:pt idx="29">
                  <c:v>1.4</c:v>
                </c:pt>
                <c:pt idx="30">
                  <c:v>1.7</c:v>
                </c:pt>
                <c:pt idx="31">
                  <c:v>1.9000000000000001</c:v>
                </c:pt>
                <c:pt idx="32">
                  <c:v>2.1</c:v>
                </c:pt>
                <c:pt idx="33">
                  <c:v>2</c:v>
                </c:pt>
                <c:pt idx="34">
                  <c:v>2.2999999999999998</c:v>
                </c:pt>
                <c:pt idx="35">
                  <c:v>2</c:v>
                </c:pt>
              </c:numCache>
            </c:numRef>
          </c:val>
        </c:ser>
        <c:ser>
          <c:idx val="1"/>
          <c:order val="1"/>
          <c:tx>
            <c:strRef>
              <c:f>工业生产者出厂价格</c:f>
              <c:strCache>
                <c:ptCount val="1"/>
                <c:pt idx="0">
                  <c:v>工业生产者出厂价格</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cat>
            <c:strRef>
              <c:f>价格增长率!$A$31:$A$66</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价格增长率!$C$31:$C$66</c:f>
              <c:numCache>
                <c:formatCode>General</c:formatCode>
                <c:ptCount val="36"/>
                <c:pt idx="0">
                  <c:v>5.2</c:v>
                </c:pt>
                <c:pt idx="1">
                  <c:v>6.8</c:v>
                </c:pt>
                <c:pt idx="2">
                  <c:v>4.5</c:v>
                </c:pt>
                <c:pt idx="3">
                  <c:v>5.5</c:v>
                </c:pt>
                <c:pt idx="4">
                  <c:v>7.1</c:v>
                </c:pt>
                <c:pt idx="5">
                  <c:v>6.9</c:v>
                </c:pt>
                <c:pt idx="6">
                  <c:v>7</c:v>
                </c:pt>
                <c:pt idx="7">
                  <c:v>3</c:v>
                </c:pt>
                <c:pt idx="8">
                  <c:v>0.1</c:v>
                </c:pt>
                <c:pt idx="9">
                  <c:v>-1.3</c:v>
                </c:pt>
                <c:pt idx="10">
                  <c:v>-3.3</c:v>
                </c:pt>
                <c:pt idx="11">
                  <c:v>-2.2999999999999998</c:v>
                </c:pt>
                <c:pt idx="12">
                  <c:v>-1.7</c:v>
                </c:pt>
                <c:pt idx="13">
                  <c:v>-2.7</c:v>
                </c:pt>
                <c:pt idx="14">
                  <c:v>-1.9000000000000001</c:v>
                </c:pt>
                <c:pt idx="15">
                  <c:v>-1.3</c:v>
                </c:pt>
                <c:pt idx="16">
                  <c:v>-2</c:v>
                </c:pt>
                <c:pt idx="17">
                  <c:v>-1.6</c:v>
                </c:pt>
                <c:pt idx="18">
                  <c:v>-1.2</c:v>
                </c:pt>
                <c:pt idx="19">
                  <c:v>-2.8</c:v>
                </c:pt>
                <c:pt idx="20">
                  <c:v>-4.5999999999999996</c:v>
                </c:pt>
                <c:pt idx="21">
                  <c:v>-4.5999999999999996</c:v>
                </c:pt>
                <c:pt idx="22">
                  <c:v>-5.8</c:v>
                </c:pt>
                <c:pt idx="23">
                  <c:v>-5.8</c:v>
                </c:pt>
                <c:pt idx="24">
                  <c:v>-4.8</c:v>
                </c:pt>
                <c:pt idx="25">
                  <c:v>-3</c:v>
                </c:pt>
                <c:pt idx="26">
                  <c:v>-0.9</c:v>
                </c:pt>
                <c:pt idx="27">
                  <c:v>3.1</c:v>
                </c:pt>
                <c:pt idx="28">
                  <c:v>7.4</c:v>
                </c:pt>
                <c:pt idx="29">
                  <c:v>5.8</c:v>
                </c:pt>
                <c:pt idx="30">
                  <c:v>6.3</c:v>
                </c:pt>
                <c:pt idx="31">
                  <c:v>5.7</c:v>
                </c:pt>
                <c:pt idx="32">
                  <c:v>3.7</c:v>
                </c:pt>
                <c:pt idx="33">
                  <c:v>4.0999999999999996</c:v>
                </c:pt>
                <c:pt idx="34">
                  <c:v>4.2</c:v>
                </c:pt>
                <c:pt idx="35">
                  <c:v>2</c:v>
                </c:pt>
              </c:numCache>
            </c:numRef>
          </c:val>
        </c:ser>
        <c:ser>
          <c:idx val="2"/>
          <c:order val="2"/>
          <c:tx>
            <c:strRef>
              <c:f>工业生产者购进价格</c:f>
              <c:strCache>
                <c:ptCount val="1"/>
                <c:pt idx="0">
                  <c:v>工业生产者购进价格</c:v>
                </c:pt>
              </c:strCache>
            </c:strRef>
          </c:tx>
          <c:spPr>
            <a:ln w="12700" cap="rnd" cmpd="sng" algn="ctr">
              <a:solidFill>
                <a:srgbClr val="800080"/>
              </a:solidFill>
              <a:prstDash val="solid"/>
              <a:round/>
            </a:ln>
          </c:spPr>
          <c:marker>
            <c:symbol val="triangle"/>
            <c:size val="5"/>
            <c:spPr>
              <a:solidFill>
                <a:srgbClr val="800080"/>
              </a:solidFill>
              <a:ln w="9525" cap="flat" cmpd="sng" algn="ctr">
                <a:solidFill>
                  <a:srgbClr val="800080"/>
                </a:solidFill>
                <a:prstDash val="solid"/>
                <a:round/>
              </a:ln>
            </c:spPr>
          </c:marker>
          <c:cat>
            <c:strRef>
              <c:f>价格增长率!$A$31:$A$66</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价格增长率!$D$31:$D$66</c:f>
              <c:numCache>
                <c:formatCode>General</c:formatCode>
                <c:ptCount val="36"/>
                <c:pt idx="0">
                  <c:v>9.9</c:v>
                </c:pt>
                <c:pt idx="1">
                  <c:v>11.7</c:v>
                </c:pt>
                <c:pt idx="2">
                  <c:v>7.8</c:v>
                </c:pt>
                <c:pt idx="3">
                  <c:v>9</c:v>
                </c:pt>
                <c:pt idx="4">
                  <c:v>10.200000000000001</c:v>
                </c:pt>
                <c:pt idx="5">
                  <c:v>10.4</c:v>
                </c:pt>
                <c:pt idx="6">
                  <c:v>10.6</c:v>
                </c:pt>
                <c:pt idx="7">
                  <c:v>5.2</c:v>
                </c:pt>
                <c:pt idx="8">
                  <c:v>1</c:v>
                </c:pt>
                <c:pt idx="9">
                  <c:v>-1.6</c:v>
                </c:pt>
                <c:pt idx="10">
                  <c:v>-3.9</c:v>
                </c:pt>
                <c:pt idx="11">
                  <c:v>-2.7</c:v>
                </c:pt>
                <c:pt idx="12">
                  <c:v>-1.9000000000000001</c:v>
                </c:pt>
                <c:pt idx="13">
                  <c:v>-2.9</c:v>
                </c:pt>
                <c:pt idx="14">
                  <c:v>-1.8</c:v>
                </c:pt>
                <c:pt idx="15">
                  <c:v>-1.4</c:v>
                </c:pt>
                <c:pt idx="16">
                  <c:v>-2.1</c:v>
                </c:pt>
                <c:pt idx="17">
                  <c:v>-1.9000000000000001</c:v>
                </c:pt>
                <c:pt idx="18">
                  <c:v>-1.4</c:v>
                </c:pt>
                <c:pt idx="19">
                  <c:v>-3.4</c:v>
                </c:pt>
                <c:pt idx="20">
                  <c:v>-5.6</c:v>
                </c:pt>
                <c:pt idx="21">
                  <c:v>-5.4</c:v>
                </c:pt>
                <c:pt idx="22">
                  <c:v>-6.7</c:v>
                </c:pt>
                <c:pt idx="23">
                  <c:v>-6.7</c:v>
                </c:pt>
                <c:pt idx="24">
                  <c:v>-5.8</c:v>
                </c:pt>
                <c:pt idx="25">
                  <c:v>-3.8</c:v>
                </c:pt>
                <c:pt idx="26">
                  <c:v>-1.8</c:v>
                </c:pt>
                <c:pt idx="27">
                  <c:v>3.4</c:v>
                </c:pt>
                <c:pt idx="28">
                  <c:v>9.4</c:v>
                </c:pt>
                <c:pt idx="29">
                  <c:v>8</c:v>
                </c:pt>
                <c:pt idx="30">
                  <c:v>7.8</c:v>
                </c:pt>
                <c:pt idx="31">
                  <c:v>7.2</c:v>
                </c:pt>
                <c:pt idx="32">
                  <c:v>4.4000000000000004</c:v>
                </c:pt>
                <c:pt idx="33">
                  <c:v>4.4000000000000004</c:v>
                </c:pt>
                <c:pt idx="34">
                  <c:v>4.7</c:v>
                </c:pt>
                <c:pt idx="35">
                  <c:v>2.9</c:v>
                </c:pt>
              </c:numCache>
            </c:numRef>
          </c:val>
        </c:ser>
        <c:marker val="1"/>
        <c:axId val="153620480"/>
        <c:axId val="153623552"/>
      </c:lineChart>
      <c:catAx>
        <c:axId val="153620480"/>
        <c:scaling>
          <c:orientation val="minMax"/>
        </c:scaling>
        <c:axPos val="b"/>
        <c:numFmt formatCode="General" sourceLinked="1"/>
        <c:majorTickMark val="in"/>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53623552"/>
        <c:crosses val="autoZero"/>
        <c:auto val="1"/>
        <c:lblAlgn val="ctr"/>
        <c:lblOffset val="100"/>
        <c:tickLblSkip val="1"/>
      </c:catAx>
      <c:valAx>
        <c:axId val="153623552"/>
        <c:scaling>
          <c:orientation val="minMax"/>
        </c:scaling>
        <c:axPos val="l"/>
        <c:majorGridlines>
          <c:spPr>
            <a:ln w="3175" cap="flat" cmpd="sng" algn="ctr">
              <a:solidFill>
                <a:srgbClr val="000000"/>
              </a:solidFill>
              <a:prstDash val="solid"/>
              <a:round/>
            </a:ln>
          </c:spPr>
        </c:majorGridlines>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53620480"/>
        <c:crosses val="autoZero"/>
        <c:crossBetween val="midCat"/>
      </c:valAx>
      <c:spPr>
        <a:solidFill>
          <a:srgbClr val="FFFFFF"/>
        </a:solidFill>
        <a:ln w="3175">
          <a:solidFill>
            <a:srgbClr val="000000"/>
          </a:solidFill>
          <a:prstDash val="solid"/>
        </a:ln>
      </c:spPr>
    </c:plotArea>
    <c:legend>
      <c:legendPos val="b"/>
      <c:layout>
        <c:manualLayout>
          <c:xMode val="edge"/>
          <c:yMode val="edge"/>
          <c:x val="0.14070369344535411"/>
          <c:y val="0.90344827586206655"/>
          <c:w val="0.71859419582602357"/>
          <c:h val="7.5862068965517324E-2"/>
        </c:manualLayout>
      </c:layout>
      <c:spPr>
        <a:solidFill>
          <a:srgbClr val="FFFFFF"/>
        </a:solidFill>
        <a:ln w="25400">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rPr>
              <a:t>投资与消费单季同比增长率（%）</a:t>
            </a:r>
          </a:p>
        </c:rich>
      </c:tx>
      <c:layout>
        <c:manualLayout>
          <c:xMode val="edge"/>
          <c:yMode val="edge"/>
          <c:x val="0.27095577965035222"/>
          <c:y val="3.5483870967742012E-2"/>
        </c:manualLayout>
      </c:layout>
      <c:spPr>
        <a:noFill/>
        <a:ln w="25400">
          <a:noFill/>
        </a:ln>
      </c:spPr>
    </c:title>
    <c:plotArea>
      <c:layout>
        <c:manualLayout>
          <c:layoutTarget val="inner"/>
          <c:xMode val="edge"/>
          <c:yMode val="edge"/>
          <c:x val="6.8226250735278729E-2"/>
          <c:y val="0.19032288042288401"/>
          <c:w val="0.86160008071409344"/>
          <c:h val="0.47742010682350622"/>
        </c:manualLayout>
      </c:layout>
      <c:lineChart>
        <c:grouping val="standard"/>
        <c:ser>
          <c:idx val="0"/>
          <c:order val="0"/>
          <c:tx>
            <c:strRef>
              <c:f>固定资产投资总额</c:f>
              <c:strCache>
                <c:ptCount val="1"/>
                <c:pt idx="0">
                  <c:v>固定资产投资总额</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cat>
            <c:strRef>
              <c:f>Sheet1!$A$32:$A$67</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Sheet1!$B$32:$B$67</c:f>
              <c:numCache>
                <c:formatCode>General</c:formatCode>
                <c:ptCount val="36"/>
                <c:pt idx="0">
                  <c:v>25.6</c:v>
                </c:pt>
                <c:pt idx="1">
                  <c:v>24.4</c:v>
                </c:pt>
                <c:pt idx="2">
                  <c:v>22</c:v>
                </c:pt>
                <c:pt idx="3">
                  <c:v>23.2</c:v>
                </c:pt>
                <c:pt idx="4">
                  <c:v>25</c:v>
                </c:pt>
                <c:pt idx="5">
                  <c:v>26.2</c:v>
                </c:pt>
                <c:pt idx="6">
                  <c:v>23.5</c:v>
                </c:pt>
                <c:pt idx="7">
                  <c:v>20.5</c:v>
                </c:pt>
                <c:pt idx="8">
                  <c:v>20.9</c:v>
                </c:pt>
                <c:pt idx="9">
                  <c:v>19.899999999999999</c:v>
                </c:pt>
                <c:pt idx="10">
                  <c:v>20.7</c:v>
                </c:pt>
                <c:pt idx="11">
                  <c:v>20.9</c:v>
                </c:pt>
                <c:pt idx="12">
                  <c:v>20.9</c:v>
                </c:pt>
                <c:pt idx="13">
                  <c:v>19.3</c:v>
                </c:pt>
                <c:pt idx="14">
                  <c:v>20.399999999999999</c:v>
                </c:pt>
                <c:pt idx="15">
                  <c:v>17.8</c:v>
                </c:pt>
                <c:pt idx="16">
                  <c:v>17.600000000000001</c:v>
                </c:pt>
                <c:pt idx="17">
                  <c:v>17</c:v>
                </c:pt>
                <c:pt idx="18">
                  <c:v>13.7</c:v>
                </c:pt>
                <c:pt idx="19">
                  <c:v>14.5</c:v>
                </c:pt>
                <c:pt idx="20">
                  <c:v>13.5</c:v>
                </c:pt>
                <c:pt idx="21">
                  <c:v>9.3000000000000007</c:v>
                </c:pt>
                <c:pt idx="22">
                  <c:v>8.1</c:v>
                </c:pt>
                <c:pt idx="23">
                  <c:v>9.1</c:v>
                </c:pt>
                <c:pt idx="24">
                  <c:v>10.7</c:v>
                </c:pt>
                <c:pt idx="25">
                  <c:v>7.3</c:v>
                </c:pt>
                <c:pt idx="26">
                  <c:v>6.6</c:v>
                </c:pt>
                <c:pt idx="27">
                  <c:v>7.8</c:v>
                </c:pt>
                <c:pt idx="28">
                  <c:v>9.2000000000000011</c:v>
                </c:pt>
                <c:pt idx="29">
                  <c:v>8</c:v>
                </c:pt>
                <c:pt idx="30">
                  <c:v>6.1</c:v>
                </c:pt>
                <c:pt idx="31">
                  <c:v>5.5</c:v>
                </c:pt>
                <c:pt idx="32">
                  <c:v>6.2</c:v>
                </c:pt>
                <c:pt idx="33">
                  <c:v>5.8</c:v>
                </c:pt>
                <c:pt idx="34">
                  <c:v>4.2</c:v>
                </c:pt>
                <c:pt idx="35">
                  <c:v>7.4</c:v>
                </c:pt>
              </c:numCache>
            </c:numRef>
          </c:val>
        </c:ser>
        <c:ser>
          <c:idx val="1"/>
          <c:order val="1"/>
          <c:tx>
            <c:strRef>
              <c:f>消费品零售总额</c:f>
              <c:strCache>
                <c:ptCount val="1"/>
                <c:pt idx="0">
                  <c:v>消费品零售总额</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cat>
            <c:strRef>
              <c:f>Sheet1!$A$32:$A$67</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Sheet1!$C$32:$C$67</c:f>
              <c:numCache>
                <c:formatCode>General</c:formatCode>
                <c:ptCount val="36"/>
                <c:pt idx="0">
                  <c:v>17.899999999999999</c:v>
                </c:pt>
                <c:pt idx="1">
                  <c:v>18.5</c:v>
                </c:pt>
                <c:pt idx="2">
                  <c:v>18.5</c:v>
                </c:pt>
                <c:pt idx="3">
                  <c:v>18.7</c:v>
                </c:pt>
                <c:pt idx="4">
                  <c:v>16.3</c:v>
                </c:pt>
                <c:pt idx="5">
                  <c:v>17.3</c:v>
                </c:pt>
                <c:pt idx="6">
                  <c:v>17.399999999999999</c:v>
                </c:pt>
                <c:pt idx="7">
                  <c:v>17.399999999999999</c:v>
                </c:pt>
                <c:pt idx="8">
                  <c:v>14.8</c:v>
                </c:pt>
                <c:pt idx="9">
                  <c:v>14</c:v>
                </c:pt>
                <c:pt idx="10">
                  <c:v>13.5</c:v>
                </c:pt>
                <c:pt idx="11">
                  <c:v>14.9</c:v>
                </c:pt>
                <c:pt idx="12">
                  <c:v>12.4</c:v>
                </c:pt>
                <c:pt idx="13">
                  <c:v>13</c:v>
                </c:pt>
                <c:pt idx="14">
                  <c:v>13.3</c:v>
                </c:pt>
                <c:pt idx="15">
                  <c:v>13.7</c:v>
                </c:pt>
                <c:pt idx="16">
                  <c:v>12</c:v>
                </c:pt>
                <c:pt idx="17">
                  <c:v>12.2</c:v>
                </c:pt>
                <c:pt idx="18">
                  <c:v>11.8</c:v>
                </c:pt>
                <c:pt idx="19">
                  <c:v>12</c:v>
                </c:pt>
                <c:pt idx="20">
                  <c:v>10.6</c:v>
                </c:pt>
                <c:pt idx="21">
                  <c:v>10.200000000000001</c:v>
                </c:pt>
                <c:pt idx="22">
                  <c:v>10.7</c:v>
                </c:pt>
                <c:pt idx="23">
                  <c:v>11.3</c:v>
                </c:pt>
                <c:pt idx="24">
                  <c:v>10.3</c:v>
                </c:pt>
                <c:pt idx="25">
                  <c:v>10.3</c:v>
                </c:pt>
                <c:pt idx="26">
                  <c:v>10.6</c:v>
                </c:pt>
                <c:pt idx="27">
                  <c:v>10.4</c:v>
                </c:pt>
                <c:pt idx="28">
                  <c:v>10</c:v>
                </c:pt>
                <c:pt idx="29">
                  <c:v>10.8</c:v>
                </c:pt>
                <c:pt idx="30">
                  <c:v>10.4</c:v>
                </c:pt>
                <c:pt idx="31">
                  <c:v>9.6</c:v>
                </c:pt>
                <c:pt idx="32">
                  <c:v>9.8000000000000007</c:v>
                </c:pt>
                <c:pt idx="33">
                  <c:v>9</c:v>
                </c:pt>
                <c:pt idx="34">
                  <c:v>9.1</c:v>
                </c:pt>
                <c:pt idx="35">
                  <c:v>8.1</c:v>
                </c:pt>
              </c:numCache>
            </c:numRef>
          </c:val>
        </c:ser>
        <c:marker val="1"/>
        <c:axId val="177761664"/>
        <c:axId val="178566656"/>
      </c:lineChart>
      <c:catAx>
        <c:axId val="177761664"/>
        <c:scaling>
          <c:orientation val="minMax"/>
        </c:scaling>
        <c:axPos val="b"/>
        <c:numFmt formatCode="General" sourceLinked="1"/>
        <c:majorTickMark val="in"/>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8566656"/>
        <c:crosses val="autoZero"/>
        <c:auto val="1"/>
        <c:lblAlgn val="ctr"/>
        <c:lblOffset val="100"/>
        <c:tickLblSkip val="1"/>
      </c:catAx>
      <c:valAx>
        <c:axId val="178566656"/>
        <c:scaling>
          <c:orientation val="minMax"/>
        </c:scaling>
        <c:axPos val="l"/>
        <c:majorGridlines>
          <c:spPr>
            <a:ln w="3175" cap="flat" cmpd="sng" algn="ctr">
              <a:solidFill>
                <a:srgbClr val="000000"/>
              </a:solidFill>
              <a:prstDash val="solid"/>
              <a:round/>
            </a:ln>
          </c:spPr>
        </c:majorGridlines>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77761664"/>
        <c:crosses val="autoZero"/>
        <c:crossBetween val="midCat"/>
      </c:valAx>
      <c:spPr>
        <a:solidFill>
          <a:srgbClr val="FFFFFF"/>
        </a:solidFill>
        <a:ln w="12700">
          <a:solidFill>
            <a:srgbClr val="808080"/>
          </a:solidFill>
          <a:prstDash val="solid"/>
        </a:ln>
      </c:spPr>
    </c:plotArea>
    <c:legend>
      <c:legendPos val="b"/>
      <c:layout>
        <c:manualLayout>
          <c:xMode val="edge"/>
          <c:yMode val="edge"/>
          <c:x val="0.22027331378899301"/>
          <c:y val="0.90967877402421504"/>
          <c:w val="0.55945521429704403"/>
          <c:h val="7.0967741935484024E-2"/>
        </c:manualLayout>
      </c:layout>
      <c:spPr>
        <a:solidFill>
          <a:srgbClr val="FFFFFF"/>
        </a:solidFill>
        <a:ln w="25400">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zh-CN" altLang="en-US" sz="1200" b="0" i="0" u="none" strike="noStrike" baseline="0">
                <a:solidFill>
                  <a:srgbClr val="000000"/>
                </a:solidFill>
                <a:latin typeface="Arial" panose="020B0604020202020204" pitchFamily="2"/>
                <a:cs typeface="Arial" panose="020B0604020202020204" pitchFamily="2"/>
              </a:rPr>
              <a:t>进出口单季增长率与贸易顺差单季值（%，亿美元）</a:t>
            </a:r>
          </a:p>
        </c:rich>
      </c:tx>
      <c:layout>
        <c:manualLayout>
          <c:xMode val="edge"/>
          <c:yMode val="edge"/>
          <c:x val="0.18619146290924204"/>
          <c:y val="6.1290322580645214E-2"/>
        </c:manualLayout>
      </c:layout>
      <c:spPr>
        <a:noFill/>
        <a:ln w="25400">
          <a:noFill/>
        </a:ln>
      </c:spPr>
    </c:title>
    <c:plotArea>
      <c:layout>
        <c:manualLayout>
          <c:layoutTarget val="inner"/>
          <c:xMode val="edge"/>
          <c:yMode val="edge"/>
          <c:x val="7.640074245339562E-2"/>
          <c:y val="0.19677450348806597"/>
          <c:w val="0.83191919560364203"/>
          <c:h val="0.65161392958343445"/>
        </c:manualLayout>
      </c:layout>
      <c:barChart>
        <c:barDir val="col"/>
        <c:grouping val="clustered"/>
        <c:ser>
          <c:idx val="2"/>
          <c:order val="2"/>
          <c:tx>
            <c:strRef>
              <c:f>顺差</c:f>
              <c:strCache>
                <c:ptCount val="1"/>
                <c:pt idx="0">
                  <c:v>顺差</c:v>
                </c:pt>
              </c:strCache>
            </c:strRef>
          </c:tx>
          <c:spPr>
            <a:ln w="12700">
              <a:solidFill>
                <a:srgbClr val="800080"/>
              </a:solidFill>
              <a:prstDash val="solid"/>
            </a:ln>
          </c:spPr>
          <c:cat>
            <c:strRef>
              <c:f>进出口增长率及汇率!$A$32:$A$67</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进出口增长率及汇率!$D$32:$D$67</c:f>
              <c:numCache>
                <c:formatCode>General</c:formatCode>
                <c:ptCount val="36"/>
                <c:pt idx="0">
                  <c:v>144.9</c:v>
                </c:pt>
                <c:pt idx="1">
                  <c:v>408.1</c:v>
                </c:pt>
                <c:pt idx="2">
                  <c:v>653</c:v>
                </c:pt>
                <c:pt idx="3">
                  <c:v>625</c:v>
                </c:pt>
                <c:pt idx="4">
                  <c:v>-10</c:v>
                </c:pt>
                <c:pt idx="5">
                  <c:v>-8.2000000000000011</c:v>
                </c:pt>
                <c:pt idx="6">
                  <c:v>18.899999999999999</c:v>
                </c:pt>
                <c:pt idx="7">
                  <c:v>-3.4</c:v>
                </c:pt>
                <c:pt idx="8">
                  <c:v>6.7</c:v>
                </c:pt>
                <c:pt idx="9">
                  <c:v>682.5</c:v>
                </c:pt>
                <c:pt idx="10">
                  <c:v>800.5</c:v>
                </c:pt>
                <c:pt idx="11">
                  <c:v>821.3</c:v>
                </c:pt>
                <c:pt idx="12">
                  <c:v>430.7</c:v>
                </c:pt>
                <c:pt idx="13">
                  <c:v>648.79999999999995</c:v>
                </c:pt>
                <c:pt idx="14">
                  <c:v>614.5</c:v>
                </c:pt>
                <c:pt idx="15">
                  <c:v>903.5</c:v>
                </c:pt>
                <c:pt idx="16">
                  <c:v>167.4</c:v>
                </c:pt>
                <c:pt idx="17">
                  <c:v>861.3</c:v>
                </c:pt>
                <c:pt idx="18">
                  <c:v>1287.3</c:v>
                </c:pt>
                <c:pt idx="19">
                  <c:v>1508.6</c:v>
                </c:pt>
                <c:pt idx="20">
                  <c:v>1237</c:v>
                </c:pt>
                <c:pt idx="21">
                  <c:v>1364</c:v>
                </c:pt>
                <c:pt idx="22">
                  <c:v>1493</c:v>
                </c:pt>
                <c:pt idx="23">
                  <c:v>1490</c:v>
                </c:pt>
                <c:pt idx="24">
                  <c:v>1257</c:v>
                </c:pt>
                <c:pt idx="25">
                  <c:v>1325</c:v>
                </c:pt>
                <c:pt idx="26">
                  <c:v>1334</c:v>
                </c:pt>
                <c:pt idx="27">
                  <c:v>900</c:v>
                </c:pt>
                <c:pt idx="28">
                  <c:v>660.6</c:v>
                </c:pt>
                <c:pt idx="29">
                  <c:v>1886.8</c:v>
                </c:pt>
                <c:pt idx="30">
                  <c:v>514.5</c:v>
                </c:pt>
                <c:pt idx="31">
                  <c:v>1480</c:v>
                </c:pt>
                <c:pt idx="32">
                  <c:v>518.70000000000005</c:v>
                </c:pt>
                <c:pt idx="33">
                  <c:v>826</c:v>
                </c:pt>
                <c:pt idx="34">
                  <c:v>738</c:v>
                </c:pt>
                <c:pt idx="35">
                  <c:v>1284</c:v>
                </c:pt>
              </c:numCache>
            </c:numRef>
          </c:val>
        </c:ser>
        <c:gapWidth val="210"/>
        <c:axId val="147317120"/>
        <c:axId val="147318656"/>
      </c:barChart>
      <c:lineChart>
        <c:grouping val="standard"/>
        <c:ser>
          <c:idx val="1"/>
          <c:order val="0"/>
          <c:tx>
            <c:strRef>
              <c:f>进口</c:f>
              <c:strCache>
                <c:ptCount val="1"/>
                <c:pt idx="0">
                  <c:v>进口</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cat>
            <c:strRef>
              <c:f>进出口增长率及汇率!$A$32:$A$67</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进出口增长率及汇率!$B$32:$B$67</c:f>
              <c:numCache>
                <c:formatCode>General</c:formatCode>
                <c:ptCount val="36"/>
                <c:pt idx="0">
                  <c:v>64.599999999999994</c:v>
                </c:pt>
                <c:pt idx="1">
                  <c:v>40.800000000000004</c:v>
                </c:pt>
                <c:pt idx="2">
                  <c:v>21.8</c:v>
                </c:pt>
                <c:pt idx="3">
                  <c:v>27.6</c:v>
                </c:pt>
                <c:pt idx="4">
                  <c:v>32.6</c:v>
                </c:pt>
                <c:pt idx="5">
                  <c:v>22.6</c:v>
                </c:pt>
                <c:pt idx="6">
                  <c:v>24.9</c:v>
                </c:pt>
                <c:pt idx="7">
                  <c:v>19.5</c:v>
                </c:pt>
                <c:pt idx="8">
                  <c:v>6.9</c:v>
                </c:pt>
                <c:pt idx="9">
                  <c:v>6.5</c:v>
                </c:pt>
                <c:pt idx="10">
                  <c:v>1</c:v>
                </c:pt>
                <c:pt idx="11">
                  <c:v>2.8</c:v>
                </c:pt>
                <c:pt idx="12">
                  <c:v>8.4</c:v>
                </c:pt>
                <c:pt idx="13">
                  <c:v>5</c:v>
                </c:pt>
                <c:pt idx="14">
                  <c:v>8.5</c:v>
                </c:pt>
                <c:pt idx="15">
                  <c:v>7.3</c:v>
                </c:pt>
                <c:pt idx="16">
                  <c:v>1.6</c:v>
                </c:pt>
                <c:pt idx="17">
                  <c:v>1.4</c:v>
                </c:pt>
                <c:pt idx="18">
                  <c:v>0.9</c:v>
                </c:pt>
                <c:pt idx="19">
                  <c:v>-6.3</c:v>
                </c:pt>
                <c:pt idx="20">
                  <c:v>-17.3</c:v>
                </c:pt>
                <c:pt idx="21">
                  <c:v>-13.7</c:v>
                </c:pt>
                <c:pt idx="22">
                  <c:v>-14.3</c:v>
                </c:pt>
                <c:pt idx="23">
                  <c:v>-7.5</c:v>
                </c:pt>
                <c:pt idx="24">
                  <c:v>-8.2000000000000011</c:v>
                </c:pt>
                <c:pt idx="25">
                  <c:v>-6</c:v>
                </c:pt>
                <c:pt idx="26">
                  <c:v>7.3</c:v>
                </c:pt>
                <c:pt idx="27">
                  <c:v>9.3000000000000007</c:v>
                </c:pt>
                <c:pt idx="28">
                  <c:v>31.1</c:v>
                </c:pt>
                <c:pt idx="29">
                  <c:v>20.3</c:v>
                </c:pt>
                <c:pt idx="30">
                  <c:v>15.5</c:v>
                </c:pt>
                <c:pt idx="31">
                  <c:v>7.9</c:v>
                </c:pt>
                <c:pt idx="32">
                  <c:v>11.9</c:v>
                </c:pt>
                <c:pt idx="33">
                  <c:v>11.1</c:v>
                </c:pt>
                <c:pt idx="34">
                  <c:v>6.7</c:v>
                </c:pt>
                <c:pt idx="35">
                  <c:v>21.9</c:v>
                </c:pt>
              </c:numCache>
            </c:numRef>
          </c:val>
        </c:ser>
        <c:ser>
          <c:idx val="0"/>
          <c:order val="1"/>
          <c:tx>
            <c:strRef>
              <c:f>出口</c:f>
              <c:strCache>
                <c:ptCount val="1"/>
                <c:pt idx="0">
                  <c:v>出口</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cat>
            <c:strRef>
              <c:f>进出口增长率及汇率!$A$32:$A$67</c:f>
              <c:strCache>
                <c:ptCount val="36"/>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pt idx="35">
                  <c:v>2018q4</c:v>
                </c:pt>
              </c:strCache>
            </c:strRef>
          </c:cat>
          <c:val>
            <c:numRef>
              <c:f>进出口增长率及汇率!$C$32:$C$67</c:f>
              <c:numCache>
                <c:formatCode>General</c:formatCode>
                <c:ptCount val="36"/>
                <c:pt idx="0">
                  <c:v>28.7</c:v>
                </c:pt>
                <c:pt idx="1">
                  <c:v>41.7</c:v>
                </c:pt>
                <c:pt idx="2">
                  <c:v>31.6</c:v>
                </c:pt>
                <c:pt idx="3">
                  <c:v>23.2</c:v>
                </c:pt>
                <c:pt idx="4">
                  <c:v>26.5</c:v>
                </c:pt>
                <c:pt idx="5">
                  <c:v>21.5</c:v>
                </c:pt>
                <c:pt idx="6">
                  <c:v>20.100000000000001</c:v>
                </c:pt>
                <c:pt idx="7">
                  <c:v>13.1</c:v>
                </c:pt>
                <c:pt idx="8">
                  <c:v>7.6</c:v>
                </c:pt>
                <c:pt idx="9">
                  <c:v>10.8</c:v>
                </c:pt>
                <c:pt idx="10">
                  <c:v>3.8</c:v>
                </c:pt>
                <c:pt idx="11">
                  <c:v>9.4</c:v>
                </c:pt>
                <c:pt idx="12">
                  <c:v>18.399999999999999</c:v>
                </c:pt>
                <c:pt idx="13">
                  <c:v>2.4</c:v>
                </c:pt>
                <c:pt idx="14">
                  <c:v>3.2</c:v>
                </c:pt>
                <c:pt idx="15">
                  <c:v>6.4</c:v>
                </c:pt>
                <c:pt idx="16">
                  <c:v>-3.4</c:v>
                </c:pt>
                <c:pt idx="17">
                  <c:v>5.2</c:v>
                </c:pt>
                <c:pt idx="18">
                  <c:v>13.5</c:v>
                </c:pt>
                <c:pt idx="19">
                  <c:v>4.3</c:v>
                </c:pt>
                <c:pt idx="20">
                  <c:v>4.9000000000000004</c:v>
                </c:pt>
                <c:pt idx="21">
                  <c:v>-3.1</c:v>
                </c:pt>
                <c:pt idx="22">
                  <c:v>-7.2</c:v>
                </c:pt>
                <c:pt idx="23">
                  <c:v>-1.8</c:v>
                </c:pt>
                <c:pt idx="24">
                  <c:v>-7.9</c:v>
                </c:pt>
                <c:pt idx="25">
                  <c:v>-0.8</c:v>
                </c:pt>
                <c:pt idx="26">
                  <c:v>-0.30000000000000021</c:v>
                </c:pt>
                <c:pt idx="27">
                  <c:v>0.30000000000000021</c:v>
                </c:pt>
                <c:pt idx="28">
                  <c:v>14.8</c:v>
                </c:pt>
                <c:pt idx="29">
                  <c:v>15.2</c:v>
                </c:pt>
                <c:pt idx="30">
                  <c:v>7.2</c:v>
                </c:pt>
                <c:pt idx="31">
                  <c:v>6</c:v>
                </c:pt>
                <c:pt idx="32">
                  <c:v>7.4</c:v>
                </c:pt>
                <c:pt idx="33">
                  <c:v>2.4</c:v>
                </c:pt>
                <c:pt idx="34">
                  <c:v>9.7000000000000011</c:v>
                </c:pt>
                <c:pt idx="35">
                  <c:v>8.9</c:v>
                </c:pt>
              </c:numCache>
            </c:numRef>
          </c:val>
        </c:ser>
        <c:marker val="1"/>
        <c:axId val="199367680"/>
        <c:axId val="227465856"/>
      </c:lineChart>
      <c:catAx>
        <c:axId val="199367680"/>
        <c:scaling>
          <c:orientation val="minMax"/>
        </c:scaling>
        <c:axPos val="b"/>
        <c:numFmt formatCode="General" sourceLinked="1"/>
        <c:majorTickMark val="in"/>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27465856"/>
        <c:crosses val="autoZero"/>
        <c:lblAlgn val="ctr"/>
        <c:lblOffset val="100"/>
        <c:tickLblSkip val="1"/>
      </c:catAx>
      <c:valAx>
        <c:axId val="227465856"/>
        <c:scaling>
          <c:orientation val="minMax"/>
        </c:scaling>
        <c:axPos val="l"/>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endParaRPr lang="zh-CN"/>
          </a:p>
        </c:txPr>
        <c:crossAx val="199367680"/>
        <c:crosses val="autoZero"/>
        <c:crossBetween val="between"/>
      </c:valAx>
      <c:catAx>
        <c:axId val="147317120"/>
        <c:scaling>
          <c:orientation val="minMax"/>
        </c:scaling>
        <c:delete val="1"/>
        <c:axPos val="b"/>
        <c:numFmt formatCode="General" sourceLinked="1"/>
        <c:tickLblPos val="none"/>
        <c:crossAx val="147318656"/>
        <c:crosses val="autoZero"/>
        <c:lblAlgn val="ctr"/>
        <c:lblOffset val="100"/>
      </c:catAx>
      <c:valAx>
        <c:axId val="147318656"/>
        <c:scaling>
          <c:orientation val="minMax"/>
        </c:scaling>
        <c:axPos val="r"/>
        <c:numFmt formatCode="General" sourceLinked="1"/>
        <c:tickLblPos val="nextTo"/>
        <c:spPr>
          <a:ln w="9525" cap="flat" cmpd="sng" algn="ctr">
            <a:solidFill>
              <a:schemeClr val="tx1">
                <a:tint val="75000"/>
                <a:shade val="95000"/>
                <a:satMod val="105000"/>
              </a:schemeClr>
            </a:solidFill>
            <a:prstDash val="solid"/>
            <a:round/>
          </a:ln>
        </c:spPr>
        <c:txPr>
          <a:bodyPr rot="-6000000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endParaRPr lang="zh-CN"/>
          </a:p>
        </c:txPr>
        <c:crossAx val="147317120"/>
        <c:crosses val="max"/>
        <c:crossBetween val="between"/>
      </c:valAx>
      <c:spPr>
        <a:solidFill>
          <a:srgbClr val="FFFFFF"/>
        </a:solidFill>
        <a:ln w="12700">
          <a:solidFill>
            <a:srgbClr val="808080"/>
          </a:solidFill>
          <a:prstDash val="solid"/>
        </a:ln>
      </c:spPr>
    </c:plotArea>
    <c:legend>
      <c:legendPos val="r"/>
      <c:layout>
        <c:manualLayout>
          <c:xMode val="edge"/>
          <c:yMode val="edge"/>
          <c:x val="0.33106960950764253"/>
          <c:y val="0.90322580645161443"/>
          <c:w val="0.32088285229202251"/>
          <c:h val="6.4516129032258132E-2"/>
        </c:manualLayout>
      </c:layout>
      <c:spPr>
        <a:solidFill>
          <a:srgbClr val="FFFFFF"/>
        </a:solidFill>
        <a:ln w="25400">
          <a:noFill/>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3175" cap="flat" cmpd="sng" algn="ctr">
      <a:solidFill>
        <a:srgbClr val="000000"/>
      </a:solidFill>
      <a:prstDash val="solid"/>
      <a:round/>
    </a:ln>
  </c:spPr>
  <c:txPr>
    <a:bodyPr/>
    <a:lstStyle/>
    <a:p>
      <a:pPr>
        <a:defRPr lang="zh-CN" sz="1000" b="0" i="0" u="none" strike="noStrike" baseline="0">
          <a:solidFill>
            <a:srgbClr val="000000"/>
          </a:solidFill>
          <a:latin typeface="Arial" panose="020B0604020202020204" pitchFamily="2"/>
          <a:ea typeface="Arial" panose="020B0604020202020204" pitchFamily="2"/>
          <a:cs typeface="Arial" panose="020B0604020202020204" pitchFamily="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A0FD4-A429-4E2E-98F1-1E283822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2201</Words>
  <Characters>12552</Characters>
  <Application>Microsoft Office Word</Application>
  <DocSecurity>0</DocSecurity>
  <Lines>104</Lines>
  <Paragraphs>29</Paragraphs>
  <ScaleCrop>false</ScaleCrop>
  <Company>微软中国</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dell</cp:lastModifiedBy>
  <cp:revision>73</cp:revision>
  <cp:lastPrinted>2019-01-26T08:26:00Z</cp:lastPrinted>
  <dcterms:created xsi:type="dcterms:W3CDTF">2019-01-22T11:52:00Z</dcterms:created>
  <dcterms:modified xsi:type="dcterms:W3CDTF">2019-02-22T06:09:00Z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